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CA75" w14:textId="77777777" w:rsidR="00A423B9" w:rsidRPr="00A423B9" w:rsidRDefault="00A423B9" w:rsidP="00A423B9">
      <w:pPr>
        <w:shd w:val="clear" w:color="auto" w:fill="FFFFFF"/>
        <w:spacing w:before="30" w:after="30"/>
        <w:outlineLvl w:val="1"/>
        <w:rPr>
          <w:rFonts w:ascii="Times New Roman" w:eastAsia="Times New Roman" w:hAnsi="Times New Roman" w:cs="Times New Roman"/>
          <w:b/>
          <w:bCs/>
          <w:color w:val="000000"/>
          <w:sz w:val="30"/>
          <w:szCs w:val="30"/>
        </w:rPr>
      </w:pPr>
      <w:r w:rsidRPr="00A423B9">
        <w:rPr>
          <w:rFonts w:ascii="Helvetica" w:eastAsia="Times New Roman" w:hAnsi="Helvetica" w:cs="Times New Roman"/>
          <w:b/>
          <w:bCs/>
          <w:color w:val="000000"/>
          <w:sz w:val="30"/>
          <w:szCs w:val="30"/>
        </w:rPr>
        <w:t>Gas industry playing the long game on hedging</w:t>
      </w:r>
      <w:bookmarkStart w:id="0" w:name="_GoBack"/>
      <w:bookmarkEnd w:id="0"/>
    </w:p>
    <w:p w14:paraId="021BCB17" w14:textId="77777777" w:rsidR="00A423B9" w:rsidRDefault="00A423B9"/>
    <w:tbl>
      <w:tblPr>
        <w:tblpPr w:leftFromText="180" w:rightFromText="180" w:horzAnchor="page" w:tblpX="109" w:tblpY="-1319"/>
        <w:tblW w:w="15780" w:type="dxa"/>
        <w:tblBorders>
          <w:top w:val="nil"/>
          <w:left w:val="nil"/>
          <w:right w:val="nil"/>
        </w:tblBorders>
        <w:tblLayout w:type="fixed"/>
        <w:tblLook w:val="0000" w:firstRow="0" w:lastRow="0" w:firstColumn="0" w:lastColumn="0" w:noHBand="0" w:noVBand="0"/>
      </w:tblPr>
      <w:tblGrid>
        <w:gridCol w:w="15456"/>
        <w:gridCol w:w="324"/>
      </w:tblGrid>
      <w:tr w:rsidR="00A423B9" w14:paraId="1DBF848A" w14:textId="77777777" w:rsidTr="00A423B9">
        <w:tblPrEx>
          <w:tblCellMar>
            <w:top w:w="0" w:type="dxa"/>
            <w:bottom w:w="0" w:type="dxa"/>
          </w:tblCellMar>
        </w:tblPrEx>
        <w:tc>
          <w:tcPr>
            <w:tcW w:w="15456" w:type="dxa"/>
            <w:tcMar>
              <w:top w:w="20" w:type="nil"/>
              <w:left w:w="500" w:type="nil"/>
              <w:bottom w:w="200" w:type="nil"/>
              <w:right w:w="20" w:type="nil"/>
            </w:tcMar>
          </w:tcPr>
          <w:p w14:paraId="7F4AEA13" w14:textId="77777777" w:rsidR="00A423B9" w:rsidRPr="00A423B9" w:rsidRDefault="00A423B9" w:rsidP="00A423B9">
            <w:pPr>
              <w:widowControl w:val="0"/>
              <w:autoSpaceDE w:val="0"/>
              <w:autoSpaceDN w:val="0"/>
              <w:adjustRightInd w:val="0"/>
              <w:rPr>
                <w:rFonts w:ascii="Calibri" w:hAnsi="Calibri" w:cs="Calibri"/>
                <w:sz w:val="28"/>
                <w:szCs w:val="28"/>
              </w:rPr>
            </w:pPr>
            <w:r w:rsidRPr="00A423B9">
              <w:rPr>
                <w:rFonts w:ascii="Helvetica" w:hAnsi="Helvetica" w:cs="Helvetica"/>
                <w:b/>
                <w:bCs/>
                <w:color w:val="438BCC"/>
                <w:sz w:val="28"/>
                <w:szCs w:val="28"/>
              </w:rPr>
              <w:lastRenderedPageBreak/>
              <w:t xml:space="preserve">Natural gas </w:t>
            </w:r>
            <w:r w:rsidRPr="00A423B9">
              <w:rPr>
                <w:rFonts w:ascii="Helvetica" w:hAnsi="Helvetica" w:cs="Helvetica"/>
                <w:sz w:val="28"/>
                <w:szCs w:val="28"/>
              </w:rPr>
              <w:t>producers and buyers are hedging their exposure to prices farther out into the future than in the past to protect themselves against basis differentials amid the risk of delays in projects that will move more Northeast supply to Southeast demand markets.</w:t>
            </w:r>
          </w:p>
        </w:tc>
        <w:tc>
          <w:tcPr>
            <w:tcW w:w="324" w:type="dxa"/>
            <w:tcMar>
              <w:top w:w="20" w:type="nil"/>
              <w:left w:w="500" w:type="nil"/>
              <w:bottom w:w="200" w:type="nil"/>
              <w:right w:w="20" w:type="nil"/>
            </w:tcMar>
          </w:tcPr>
          <w:p w14:paraId="7802C7FF"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1EC38DD6" wp14:editId="4F251C1D">
                  <wp:extent cx="204470" cy="2044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05916DFE"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574C6232"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With overall </w:t>
            </w:r>
            <w:r w:rsidRPr="00A423B9">
              <w:rPr>
                <w:rFonts w:ascii="Helvetica" w:hAnsi="Helvetica" w:cs="Helvetica"/>
                <w:b/>
                <w:bCs/>
                <w:color w:val="438BCC"/>
                <w:sz w:val="28"/>
                <w:szCs w:val="28"/>
              </w:rPr>
              <w:t xml:space="preserve">US </w:t>
            </w:r>
            <w:r w:rsidRPr="00A423B9">
              <w:rPr>
                <w:rFonts w:ascii="Helvetica" w:hAnsi="Helvetica" w:cs="Helvetica"/>
                <w:sz w:val="28"/>
                <w:szCs w:val="28"/>
              </w:rPr>
              <w:t xml:space="preserve">prices relatively stable, and still low compared with historical standards, the trend expressed as the LDC </w:t>
            </w:r>
            <w:r w:rsidRPr="00A423B9">
              <w:rPr>
                <w:rFonts w:ascii="Helvetica" w:hAnsi="Helvetica" w:cs="Helvetica"/>
                <w:b/>
                <w:bCs/>
                <w:color w:val="438BCC"/>
                <w:sz w:val="28"/>
                <w:szCs w:val="28"/>
              </w:rPr>
              <w:t xml:space="preserve">Gas </w:t>
            </w:r>
            <w:r w:rsidRPr="00A423B9">
              <w:rPr>
                <w:rFonts w:ascii="Helvetica" w:hAnsi="Helvetica" w:cs="Helvetica"/>
                <w:sz w:val="28"/>
                <w:szCs w:val="28"/>
              </w:rPr>
              <w:t xml:space="preserve">Forums Northeast conference wrapped up in </w:t>
            </w:r>
            <w:r w:rsidRPr="00A423B9">
              <w:rPr>
                <w:rFonts w:ascii="Helvetica" w:hAnsi="Helvetica" w:cs="Helvetica"/>
                <w:b/>
                <w:bCs/>
                <w:color w:val="438BCC"/>
                <w:sz w:val="28"/>
                <w:szCs w:val="28"/>
              </w:rPr>
              <w:t xml:space="preserve">Boston </w:t>
            </w:r>
            <w:r w:rsidRPr="00A423B9">
              <w:rPr>
                <w:rFonts w:ascii="Helvetica" w:hAnsi="Helvetica" w:cs="Helvetica"/>
                <w:sz w:val="28"/>
                <w:szCs w:val="28"/>
              </w:rPr>
              <w:t>is a sign that industry players looking at forward curves believe greater volatility could be on the horizon.</w:t>
            </w:r>
          </w:p>
        </w:tc>
        <w:tc>
          <w:tcPr>
            <w:tcW w:w="324" w:type="dxa"/>
            <w:tcMar>
              <w:top w:w="20" w:type="nil"/>
              <w:left w:w="500" w:type="nil"/>
              <w:bottom w:w="200" w:type="nil"/>
              <w:right w:w="20" w:type="nil"/>
            </w:tcMar>
          </w:tcPr>
          <w:p w14:paraId="285FFD9E"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DB4686A" wp14:editId="6D168937">
                  <wp:extent cx="204470" cy="204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0D09AEB6"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373569B6"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That concern is tied to the fact that some Northeast pipeline additions proposed to feed power generation and </w:t>
            </w:r>
            <w:r w:rsidRPr="00A423B9">
              <w:rPr>
                <w:rFonts w:ascii="Helvetica" w:hAnsi="Helvetica" w:cs="Helvetica"/>
                <w:b/>
                <w:bCs/>
                <w:color w:val="438BCC"/>
                <w:sz w:val="28"/>
                <w:szCs w:val="28"/>
              </w:rPr>
              <w:t xml:space="preserve">LNG </w:t>
            </w:r>
            <w:r w:rsidRPr="00A423B9">
              <w:rPr>
                <w:rFonts w:ascii="Helvetica" w:hAnsi="Helvetica" w:cs="Helvetica"/>
                <w:sz w:val="28"/>
                <w:szCs w:val="28"/>
              </w:rPr>
              <w:t xml:space="preserve">exports with Marcellus and Utica </w:t>
            </w:r>
            <w:r w:rsidRPr="00A423B9">
              <w:rPr>
                <w:rFonts w:ascii="Helvetica" w:hAnsi="Helvetica" w:cs="Helvetica"/>
                <w:b/>
                <w:bCs/>
                <w:color w:val="438BCC"/>
                <w:sz w:val="28"/>
                <w:szCs w:val="28"/>
              </w:rPr>
              <w:t xml:space="preserve">shale </w:t>
            </w:r>
            <w:r w:rsidRPr="00A423B9">
              <w:rPr>
                <w:rFonts w:ascii="Helvetica" w:hAnsi="Helvetica" w:cs="Helvetica"/>
                <w:sz w:val="28"/>
                <w:szCs w:val="28"/>
              </w:rPr>
              <w:t xml:space="preserve">supplies face regulatory hurdles that have stretched out their in-service timelines. Among them are Energy Transfer Partners' Rover pipeline, Enbridge's Nexus </w:t>
            </w:r>
            <w:r w:rsidRPr="00A423B9">
              <w:rPr>
                <w:rFonts w:ascii="Helvetica" w:hAnsi="Helvetica" w:cs="Helvetica"/>
                <w:b/>
                <w:bCs/>
                <w:color w:val="438BCC"/>
                <w:sz w:val="28"/>
                <w:szCs w:val="28"/>
              </w:rPr>
              <w:t xml:space="preserve">Gas </w:t>
            </w:r>
            <w:r w:rsidRPr="00A423B9">
              <w:rPr>
                <w:rFonts w:ascii="Helvetica" w:hAnsi="Helvetica" w:cs="Helvetica"/>
                <w:sz w:val="28"/>
                <w:szCs w:val="28"/>
              </w:rPr>
              <w:t xml:space="preserve">Transmission project and the Atlantic Sunrise expansion on Williams' Transcontinental </w:t>
            </w:r>
            <w:r w:rsidRPr="00A423B9">
              <w:rPr>
                <w:rFonts w:ascii="Helvetica" w:hAnsi="Helvetica" w:cs="Helvetica"/>
                <w:b/>
                <w:bCs/>
                <w:color w:val="438BCC"/>
                <w:sz w:val="28"/>
                <w:szCs w:val="28"/>
              </w:rPr>
              <w:t xml:space="preserve">Gas </w:t>
            </w:r>
            <w:r w:rsidRPr="00A423B9">
              <w:rPr>
                <w:rFonts w:ascii="Helvetica" w:hAnsi="Helvetica" w:cs="Helvetica"/>
                <w:sz w:val="28"/>
                <w:szCs w:val="28"/>
              </w:rPr>
              <w:t>Pipe Line.</w:t>
            </w:r>
          </w:p>
        </w:tc>
        <w:tc>
          <w:tcPr>
            <w:tcW w:w="324" w:type="dxa"/>
            <w:tcMar>
              <w:top w:w="20" w:type="nil"/>
              <w:left w:w="500" w:type="nil"/>
              <w:bottom w:w="200" w:type="nil"/>
              <w:right w:w="20" w:type="nil"/>
            </w:tcMar>
          </w:tcPr>
          <w:p w14:paraId="17254D0D"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149AF39A" wp14:editId="17800EB9">
                  <wp:extent cx="204470" cy="2044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617B0991"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47803E6E"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Producers such as Rice Energy, Cabot Oil &amp; </w:t>
            </w:r>
            <w:r w:rsidRPr="00A423B9">
              <w:rPr>
                <w:rFonts w:ascii="Helvetica" w:hAnsi="Helvetica" w:cs="Helvetica"/>
                <w:b/>
                <w:bCs/>
                <w:color w:val="438BCC"/>
                <w:sz w:val="28"/>
                <w:szCs w:val="28"/>
              </w:rPr>
              <w:t xml:space="preserve">Gas </w:t>
            </w:r>
            <w:r w:rsidRPr="00A423B9">
              <w:rPr>
                <w:rFonts w:ascii="Helvetica" w:hAnsi="Helvetica" w:cs="Helvetica"/>
                <w:sz w:val="28"/>
                <w:szCs w:val="28"/>
              </w:rPr>
              <w:t>and Antero Resources have spoken about aggressive hedging strategies that are geared toward these market realities.</w:t>
            </w:r>
          </w:p>
        </w:tc>
        <w:tc>
          <w:tcPr>
            <w:tcW w:w="324" w:type="dxa"/>
            <w:tcMar>
              <w:top w:w="20" w:type="nil"/>
              <w:left w:w="500" w:type="nil"/>
              <w:bottom w:w="200" w:type="nil"/>
              <w:right w:w="20" w:type="nil"/>
            </w:tcMar>
          </w:tcPr>
          <w:p w14:paraId="1DE7D249"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26C19664" wp14:editId="6BB3433B">
                  <wp:extent cx="204470" cy="2044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22636433"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482AF1B7"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w:t>
            </w:r>
            <w:r w:rsidRPr="00A423B9">
              <w:rPr>
                <w:rFonts w:ascii="Helvetica" w:hAnsi="Helvetica" w:cs="Helvetica"/>
                <w:b/>
                <w:bCs/>
                <w:color w:val="438BCC"/>
                <w:sz w:val="28"/>
                <w:szCs w:val="28"/>
              </w:rPr>
              <w:t xml:space="preserve">We </w:t>
            </w:r>
            <w:r w:rsidRPr="00A423B9">
              <w:rPr>
                <w:rFonts w:ascii="Helvetica" w:hAnsi="Helvetica" w:cs="Helvetica"/>
                <w:sz w:val="28"/>
                <w:szCs w:val="28"/>
              </w:rPr>
              <w:t xml:space="preserve">are seeing people recognize how </w:t>
            </w:r>
            <w:r w:rsidRPr="00A423B9">
              <w:rPr>
                <w:rFonts w:ascii="Helvetica" w:hAnsi="Helvetica" w:cs="Helvetica"/>
                <w:b/>
                <w:bCs/>
                <w:color w:val="438BCC"/>
                <w:sz w:val="28"/>
                <w:szCs w:val="28"/>
              </w:rPr>
              <w:t xml:space="preserve">we </w:t>
            </w:r>
            <w:r w:rsidRPr="00A423B9">
              <w:rPr>
                <w:rFonts w:ascii="Helvetica" w:hAnsi="Helvetica" w:cs="Helvetica"/>
                <w:sz w:val="28"/>
                <w:szCs w:val="28"/>
              </w:rPr>
              <w:t xml:space="preserve">haven't had this low a price this long before and seeing there are a lot of risks out there," said Michael Thomas, chief operating officer, North American </w:t>
            </w:r>
            <w:r w:rsidRPr="00A423B9">
              <w:rPr>
                <w:rFonts w:ascii="Helvetica" w:hAnsi="Helvetica" w:cs="Helvetica"/>
                <w:b/>
                <w:bCs/>
                <w:color w:val="438BCC"/>
                <w:sz w:val="28"/>
                <w:szCs w:val="28"/>
              </w:rPr>
              <w:t xml:space="preserve">gas </w:t>
            </w:r>
            <w:r w:rsidRPr="00A423B9">
              <w:rPr>
                <w:rFonts w:ascii="Helvetica" w:hAnsi="Helvetica" w:cs="Helvetica"/>
                <w:sz w:val="28"/>
                <w:szCs w:val="28"/>
              </w:rPr>
              <w:t>and power, in BP's trading unit BP Energy.</w:t>
            </w:r>
          </w:p>
        </w:tc>
        <w:tc>
          <w:tcPr>
            <w:tcW w:w="324" w:type="dxa"/>
            <w:tcMar>
              <w:top w:w="20" w:type="nil"/>
              <w:left w:w="500" w:type="nil"/>
              <w:bottom w:w="200" w:type="nil"/>
              <w:right w:w="20" w:type="nil"/>
            </w:tcMar>
          </w:tcPr>
          <w:p w14:paraId="3287E4DB"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7272485" wp14:editId="13B0E659">
                  <wp:extent cx="204470" cy="2044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5982AEFD"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5A07CCAC"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Traditionally, customers want to hedge 12-18 months out, but now there is more interest in five to seven years, Thomas said.</w:t>
            </w:r>
          </w:p>
        </w:tc>
        <w:tc>
          <w:tcPr>
            <w:tcW w:w="324" w:type="dxa"/>
            <w:tcMar>
              <w:top w:w="20" w:type="nil"/>
              <w:left w:w="500" w:type="nil"/>
              <w:bottom w:w="200" w:type="nil"/>
              <w:right w:w="20" w:type="nil"/>
            </w:tcMar>
          </w:tcPr>
          <w:p w14:paraId="7843BBA5"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0481AA9E" wp14:editId="7D7B3168">
                  <wp:extent cx="204470" cy="204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3EE54B08"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057FF81B"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w:t>
            </w:r>
            <w:r w:rsidRPr="00A423B9">
              <w:rPr>
                <w:rFonts w:ascii="Helvetica" w:hAnsi="Helvetica" w:cs="Helvetica"/>
                <w:b/>
                <w:bCs/>
                <w:color w:val="438BCC"/>
                <w:sz w:val="28"/>
                <w:szCs w:val="28"/>
              </w:rPr>
              <w:t xml:space="preserve">We </w:t>
            </w:r>
            <w:r w:rsidRPr="00A423B9">
              <w:rPr>
                <w:rFonts w:ascii="Helvetica" w:hAnsi="Helvetica" w:cs="Helvetica"/>
                <w:sz w:val="28"/>
                <w:szCs w:val="28"/>
              </w:rPr>
              <w:t>have seen some opportunities to manage risk for people," he said.</w:t>
            </w:r>
          </w:p>
        </w:tc>
        <w:tc>
          <w:tcPr>
            <w:tcW w:w="324" w:type="dxa"/>
            <w:tcMar>
              <w:top w:w="20" w:type="nil"/>
              <w:left w:w="500" w:type="nil"/>
              <w:bottom w:w="200" w:type="nil"/>
              <w:right w:w="20" w:type="nil"/>
            </w:tcMar>
          </w:tcPr>
          <w:p w14:paraId="195DCF45"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7A2363F4" wp14:editId="3ABE8D8A">
                  <wp:extent cx="204470" cy="2044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37F56BE4"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7D7C37E3"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Competitive Energy Services, an independent energy advisory firm, also has clients that are extending their hedge position farther out into the future and hedging a higher position, said Andrew Price, president and chief operating officer.</w:t>
            </w:r>
          </w:p>
        </w:tc>
        <w:tc>
          <w:tcPr>
            <w:tcW w:w="324" w:type="dxa"/>
            <w:tcMar>
              <w:top w:w="20" w:type="nil"/>
              <w:left w:w="500" w:type="nil"/>
              <w:bottom w:w="200" w:type="nil"/>
              <w:right w:w="20" w:type="nil"/>
            </w:tcMar>
          </w:tcPr>
          <w:p w14:paraId="2178F255"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3B48B163" wp14:editId="6EC9FD07">
                  <wp:extent cx="204470" cy="2044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5D5166D3"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5D38C877"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noProof/>
                <w:sz w:val="28"/>
                <w:szCs w:val="28"/>
              </w:rPr>
              <w:drawing>
                <wp:inline distT="0" distB="0" distL="0" distR="0" wp14:anchorId="55FCDC1E" wp14:editId="60955E5C">
                  <wp:extent cx="6157595" cy="32492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7595" cy="3249295"/>
                          </a:xfrm>
                          <a:prstGeom prst="rect">
                            <a:avLst/>
                          </a:prstGeom>
                          <a:noFill/>
                          <a:ln>
                            <a:noFill/>
                          </a:ln>
                        </pic:spPr>
                      </pic:pic>
                    </a:graphicData>
                  </a:graphic>
                </wp:inline>
              </w:drawing>
            </w:r>
            <w:r w:rsidRPr="00A423B9">
              <w:rPr>
                <w:rFonts w:ascii="Helvetica" w:hAnsi="Helvetica" w:cs="Helvetica"/>
                <w:sz w:val="28"/>
                <w:szCs w:val="28"/>
              </w:rPr>
              <w:t>...</w:t>
            </w:r>
          </w:p>
        </w:tc>
        <w:tc>
          <w:tcPr>
            <w:tcW w:w="324" w:type="dxa"/>
            <w:tcMar>
              <w:top w:w="20" w:type="nil"/>
              <w:left w:w="500" w:type="nil"/>
              <w:bottom w:w="200" w:type="nil"/>
              <w:right w:w="20" w:type="nil"/>
            </w:tcMar>
          </w:tcPr>
          <w:p w14:paraId="666F77BC"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D51EC1A" wp14:editId="2ADB84E0">
                  <wp:extent cx="204470" cy="2044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72716F46"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16E28C57"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While there is approximately 18 </w:t>
            </w:r>
            <w:proofErr w:type="spellStart"/>
            <w:r w:rsidRPr="00A423B9">
              <w:rPr>
                <w:rFonts w:ascii="Helvetica" w:hAnsi="Helvetica" w:cs="Helvetica"/>
                <w:sz w:val="28"/>
                <w:szCs w:val="28"/>
              </w:rPr>
              <w:t>Bcf</w:t>
            </w:r>
            <w:proofErr w:type="spellEnd"/>
            <w:r w:rsidRPr="00A423B9">
              <w:rPr>
                <w:rFonts w:ascii="Helvetica" w:hAnsi="Helvetica" w:cs="Helvetica"/>
                <w:sz w:val="28"/>
                <w:szCs w:val="28"/>
              </w:rPr>
              <w:t xml:space="preserve">/d of production-takeaway capacity from the Northeast </w:t>
            </w:r>
            <w:r w:rsidRPr="00A423B9">
              <w:rPr>
                <w:rFonts w:ascii="Helvetica" w:hAnsi="Helvetica" w:cs="Helvetica"/>
                <w:b/>
                <w:bCs/>
                <w:color w:val="438BCC"/>
                <w:sz w:val="28"/>
                <w:szCs w:val="28"/>
              </w:rPr>
              <w:t xml:space="preserve">US </w:t>
            </w:r>
            <w:r w:rsidRPr="00A423B9">
              <w:rPr>
                <w:rFonts w:ascii="Helvetica" w:hAnsi="Helvetica" w:cs="Helvetica"/>
                <w:sz w:val="28"/>
                <w:szCs w:val="28"/>
              </w:rPr>
              <w:t>region planned to enter service by the end of 2019, there remain doubts about the feasibility that those pipeline projects can all meet their respective targeted in-service dates. Many of the delays to in-service dates have accrued among projects that had initially targeted service by the end of 2017, resulting in a large backlog of projects now targeting service by 2018.</w:t>
            </w:r>
          </w:p>
        </w:tc>
        <w:tc>
          <w:tcPr>
            <w:tcW w:w="324" w:type="dxa"/>
            <w:tcMar>
              <w:top w:w="20" w:type="nil"/>
              <w:left w:w="500" w:type="nil"/>
              <w:bottom w:w="200" w:type="nil"/>
              <w:right w:w="20" w:type="nil"/>
            </w:tcMar>
          </w:tcPr>
          <w:p w14:paraId="0C2E975D"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428560A3" wp14:editId="11D93033">
                  <wp:extent cx="204470" cy="2044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5EA92218"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04C6BBE1"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Large greenfield projects such as Nexus, for example, have held fast to their targeted November 2017 in-service dates, but a lack of a quorum at the </w:t>
            </w:r>
            <w:r w:rsidRPr="00A423B9">
              <w:rPr>
                <w:rFonts w:ascii="Helvetica" w:hAnsi="Helvetica" w:cs="Helvetica"/>
                <w:b/>
                <w:bCs/>
                <w:color w:val="438BCC"/>
                <w:sz w:val="28"/>
                <w:szCs w:val="28"/>
              </w:rPr>
              <w:t xml:space="preserve">US </w:t>
            </w:r>
            <w:r w:rsidRPr="00A423B9">
              <w:rPr>
                <w:rFonts w:ascii="Helvetica" w:hAnsi="Helvetica" w:cs="Helvetica"/>
                <w:sz w:val="28"/>
                <w:szCs w:val="28"/>
              </w:rPr>
              <w:t>Federal Energy Regulatory Commission has prevented the agency from doling out project approvals for the past four months.</w:t>
            </w:r>
          </w:p>
        </w:tc>
        <w:tc>
          <w:tcPr>
            <w:tcW w:w="324" w:type="dxa"/>
            <w:tcMar>
              <w:top w:w="20" w:type="nil"/>
              <w:left w:w="500" w:type="nil"/>
              <w:bottom w:w="200" w:type="nil"/>
              <w:right w:w="20" w:type="nil"/>
            </w:tcMar>
          </w:tcPr>
          <w:p w14:paraId="57226C7F"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41AC5FB" wp14:editId="222A0387">
                  <wp:extent cx="204470" cy="204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71595CA2"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198DEA62" w14:textId="77777777" w:rsidR="00A423B9" w:rsidRPr="00A423B9" w:rsidRDefault="00A423B9" w:rsidP="00A423B9">
            <w:pPr>
              <w:widowControl w:val="0"/>
              <w:autoSpaceDE w:val="0"/>
              <w:autoSpaceDN w:val="0"/>
              <w:adjustRightInd w:val="0"/>
              <w:jc w:val="both"/>
              <w:rPr>
                <w:rFonts w:ascii="Times New Roman" w:hAnsi="Times New Roman" w:cs="Times New Roman"/>
                <w:b/>
                <w:bCs/>
                <w:sz w:val="28"/>
                <w:szCs w:val="28"/>
              </w:rPr>
            </w:pPr>
            <w:r w:rsidRPr="00A423B9">
              <w:rPr>
                <w:rFonts w:ascii="Helvetica" w:hAnsi="Helvetica" w:cs="Helvetica"/>
                <w:b/>
                <w:bCs/>
                <w:sz w:val="28"/>
                <w:szCs w:val="28"/>
              </w:rPr>
              <w:t>Longer review periods are stretching timelines</w:t>
            </w:r>
          </w:p>
        </w:tc>
        <w:tc>
          <w:tcPr>
            <w:tcW w:w="324" w:type="dxa"/>
            <w:tcMar>
              <w:top w:w="20" w:type="nil"/>
              <w:left w:w="500" w:type="nil"/>
              <w:bottom w:w="200" w:type="nil"/>
              <w:right w:w="20" w:type="nil"/>
            </w:tcMar>
          </w:tcPr>
          <w:p w14:paraId="74656826"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40D6279D" wp14:editId="72BA7624">
                  <wp:extent cx="204470" cy="2044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7D52A7EA"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0C43A32C"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Longer-than-anticipated regulatory reviews have likewise resulted in adjusted in-service dates for several projects that call for construction in greenfield areas, which generally take much longer to review and permit than brownfield expansions.</w:t>
            </w:r>
          </w:p>
        </w:tc>
        <w:tc>
          <w:tcPr>
            <w:tcW w:w="324" w:type="dxa"/>
            <w:tcMar>
              <w:top w:w="20" w:type="nil"/>
              <w:left w:w="500" w:type="nil"/>
              <w:bottom w:w="200" w:type="nil"/>
              <w:right w:w="20" w:type="nil"/>
            </w:tcMar>
          </w:tcPr>
          <w:p w14:paraId="19D78D41"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7653478C" wp14:editId="73ECCB74">
                  <wp:extent cx="204470" cy="2044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42FF500A"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6700A9C7"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Atlantic Sunrise had initially targeted a late-2017 in-service date; the brownfield portions of that project are expected to remain on-schedule, but the roughly 190 miles of greenfield pipeline associated with the project -- to be constructed in </w:t>
            </w:r>
            <w:r w:rsidRPr="00A423B9">
              <w:rPr>
                <w:rFonts w:ascii="Helvetica" w:hAnsi="Helvetica" w:cs="Helvetica"/>
                <w:b/>
                <w:bCs/>
                <w:color w:val="438BCC"/>
                <w:sz w:val="28"/>
                <w:szCs w:val="28"/>
              </w:rPr>
              <w:t xml:space="preserve">Pennsylvania </w:t>
            </w:r>
            <w:r w:rsidRPr="00A423B9">
              <w:rPr>
                <w:rFonts w:ascii="Helvetica" w:hAnsi="Helvetica" w:cs="Helvetica"/>
                <w:sz w:val="28"/>
                <w:szCs w:val="28"/>
              </w:rPr>
              <w:t>-- is now scheduled to enter service in mid-2018.</w:t>
            </w:r>
          </w:p>
        </w:tc>
        <w:tc>
          <w:tcPr>
            <w:tcW w:w="324" w:type="dxa"/>
            <w:tcMar>
              <w:top w:w="20" w:type="nil"/>
              <w:left w:w="500" w:type="nil"/>
              <w:bottom w:w="200" w:type="nil"/>
              <w:right w:w="20" w:type="nil"/>
            </w:tcMar>
          </w:tcPr>
          <w:p w14:paraId="1F7E152E"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E461C3F" wp14:editId="42B68783">
                  <wp:extent cx="204470" cy="2044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5A526761"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57AE70AA"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While Atlantic Sunrise has been approved by FERC, several key permits in </w:t>
            </w:r>
            <w:r w:rsidRPr="00A423B9">
              <w:rPr>
                <w:rFonts w:ascii="Helvetica" w:hAnsi="Helvetica" w:cs="Helvetica"/>
                <w:b/>
                <w:bCs/>
                <w:color w:val="438BCC"/>
                <w:sz w:val="28"/>
                <w:szCs w:val="28"/>
              </w:rPr>
              <w:t xml:space="preserve">Pennsylvania </w:t>
            </w:r>
            <w:r w:rsidRPr="00A423B9">
              <w:rPr>
                <w:rFonts w:ascii="Helvetica" w:hAnsi="Helvetica" w:cs="Helvetica"/>
                <w:sz w:val="28"/>
                <w:szCs w:val="28"/>
              </w:rPr>
              <w:t>remain outstanding, precluding full-scale construction operations on the project.</w:t>
            </w:r>
          </w:p>
        </w:tc>
        <w:tc>
          <w:tcPr>
            <w:tcW w:w="324" w:type="dxa"/>
            <w:tcMar>
              <w:top w:w="20" w:type="nil"/>
              <w:left w:w="500" w:type="nil"/>
              <w:bottom w:w="200" w:type="nil"/>
              <w:right w:w="20" w:type="nil"/>
            </w:tcMar>
          </w:tcPr>
          <w:p w14:paraId="5A250C36"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6F797245" wp14:editId="2121BE6C">
                  <wp:extent cx="204470" cy="204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2EDF8D0B"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2654E66E"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Certain projects have faced substantially heightened pushback both from regulators and stakeholders. Projects such as the greenfield, 1.1-Bcf/d </w:t>
            </w:r>
            <w:proofErr w:type="spellStart"/>
            <w:r w:rsidRPr="00A423B9">
              <w:rPr>
                <w:rFonts w:ascii="Helvetica" w:hAnsi="Helvetica" w:cs="Helvetica"/>
                <w:sz w:val="28"/>
                <w:szCs w:val="28"/>
              </w:rPr>
              <w:t>PennEast</w:t>
            </w:r>
            <w:proofErr w:type="spellEnd"/>
            <w:r w:rsidRPr="00A423B9">
              <w:rPr>
                <w:rFonts w:ascii="Helvetica" w:hAnsi="Helvetica" w:cs="Helvetica"/>
                <w:sz w:val="28"/>
                <w:szCs w:val="28"/>
              </w:rPr>
              <w:t xml:space="preserve"> Pipeline had initially targeted service by late 2017 when they were first proposed. An extended review, which has been hampered by challenges by landowners on the path of the right to conduct right-of-way surveys, has led </w:t>
            </w:r>
            <w:proofErr w:type="spellStart"/>
            <w:r w:rsidRPr="00A423B9">
              <w:rPr>
                <w:rFonts w:ascii="Helvetica" w:hAnsi="Helvetica" w:cs="Helvetica"/>
                <w:sz w:val="28"/>
                <w:szCs w:val="28"/>
              </w:rPr>
              <w:t>PennEast</w:t>
            </w:r>
            <w:proofErr w:type="spellEnd"/>
            <w:r w:rsidRPr="00A423B9">
              <w:rPr>
                <w:rFonts w:ascii="Helvetica" w:hAnsi="Helvetica" w:cs="Helvetica"/>
                <w:sz w:val="28"/>
                <w:szCs w:val="28"/>
              </w:rPr>
              <w:t xml:space="preserve"> to revise its targeted in-service date to 2018.</w:t>
            </w:r>
          </w:p>
        </w:tc>
        <w:tc>
          <w:tcPr>
            <w:tcW w:w="324" w:type="dxa"/>
            <w:tcMar>
              <w:top w:w="20" w:type="nil"/>
              <w:left w:w="500" w:type="nil"/>
              <w:bottom w:w="200" w:type="nil"/>
              <w:right w:w="20" w:type="nil"/>
            </w:tcMar>
          </w:tcPr>
          <w:p w14:paraId="2218DCE9"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26930ABB" wp14:editId="720F6513">
                  <wp:extent cx="204470" cy="204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30A05E1D"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5132B3E4"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Similarly, a longer-than-expected review of the 1.5-Bcf/d Atlantic Coast Pipeline project has led developers to push the targeted in-service date from late-2018 to late-2019.</w:t>
            </w:r>
          </w:p>
        </w:tc>
        <w:tc>
          <w:tcPr>
            <w:tcW w:w="324" w:type="dxa"/>
            <w:tcMar>
              <w:top w:w="20" w:type="nil"/>
              <w:left w:w="500" w:type="nil"/>
              <w:bottom w:w="200" w:type="nil"/>
              <w:right w:w="20" w:type="nil"/>
            </w:tcMar>
          </w:tcPr>
          <w:p w14:paraId="212C03F4"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53A56C22" wp14:editId="0C32334A">
                  <wp:extent cx="204470" cy="204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1624FB4D"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13475A66" w14:textId="77777777" w:rsidR="00A423B9" w:rsidRPr="00A423B9" w:rsidRDefault="00A423B9" w:rsidP="00A423B9">
            <w:pPr>
              <w:widowControl w:val="0"/>
              <w:autoSpaceDE w:val="0"/>
              <w:autoSpaceDN w:val="0"/>
              <w:adjustRightInd w:val="0"/>
              <w:rPr>
                <w:rFonts w:ascii="Times New Roman" w:hAnsi="Times New Roman" w:cs="Times New Roman"/>
                <w:b/>
                <w:bCs/>
                <w:sz w:val="28"/>
                <w:szCs w:val="28"/>
              </w:rPr>
            </w:pPr>
            <w:r w:rsidRPr="00A423B9">
              <w:rPr>
                <w:rFonts w:ascii="Helvetica" w:hAnsi="Helvetica" w:cs="Helvetica"/>
                <w:b/>
                <w:bCs/>
                <w:color w:val="438BCC"/>
                <w:sz w:val="28"/>
                <w:szCs w:val="28"/>
              </w:rPr>
              <w:t xml:space="preserve">Dominion South </w:t>
            </w:r>
            <w:r w:rsidRPr="00A423B9">
              <w:rPr>
                <w:rFonts w:ascii="Helvetica" w:hAnsi="Helvetica" w:cs="Helvetica"/>
                <w:b/>
                <w:bCs/>
                <w:sz w:val="28"/>
                <w:szCs w:val="28"/>
              </w:rPr>
              <w:t>prices have seen impact</w:t>
            </w:r>
          </w:p>
        </w:tc>
        <w:tc>
          <w:tcPr>
            <w:tcW w:w="324" w:type="dxa"/>
            <w:tcMar>
              <w:top w:w="20" w:type="nil"/>
              <w:left w:w="500" w:type="nil"/>
              <w:bottom w:w="200" w:type="nil"/>
              <w:right w:w="20" w:type="nil"/>
            </w:tcMar>
          </w:tcPr>
          <w:p w14:paraId="3363C90E"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7CE656AD" wp14:editId="2B981EEA">
                  <wp:extent cx="204470" cy="204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2F58545B"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23C96AF4"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Rover's struggles, in particular, have impacted the </w:t>
            </w:r>
            <w:r w:rsidRPr="00A423B9">
              <w:rPr>
                <w:rFonts w:ascii="Helvetica" w:hAnsi="Helvetica" w:cs="Helvetica"/>
                <w:b/>
                <w:bCs/>
                <w:color w:val="438BCC"/>
                <w:sz w:val="28"/>
                <w:szCs w:val="28"/>
              </w:rPr>
              <w:t xml:space="preserve">Dominion South </w:t>
            </w:r>
            <w:r w:rsidRPr="00A423B9">
              <w:rPr>
                <w:rFonts w:ascii="Helvetica" w:hAnsi="Helvetica" w:cs="Helvetica"/>
                <w:sz w:val="28"/>
                <w:szCs w:val="28"/>
              </w:rPr>
              <w:t xml:space="preserve">forward contract. On February 3, the July through December 2017 strip at </w:t>
            </w:r>
            <w:r w:rsidRPr="00A423B9">
              <w:rPr>
                <w:rFonts w:ascii="Helvetica" w:hAnsi="Helvetica" w:cs="Helvetica"/>
                <w:b/>
                <w:bCs/>
                <w:color w:val="438BCC"/>
                <w:sz w:val="28"/>
                <w:szCs w:val="28"/>
              </w:rPr>
              <w:t xml:space="preserve">Dominion South </w:t>
            </w:r>
            <w:r w:rsidRPr="00A423B9">
              <w:rPr>
                <w:rFonts w:ascii="Helvetica" w:hAnsi="Helvetica" w:cs="Helvetica"/>
                <w:sz w:val="28"/>
                <w:szCs w:val="28"/>
              </w:rPr>
              <w:t xml:space="preserve">averaged a $1.06/MMBtu discount to </w:t>
            </w:r>
            <w:r w:rsidRPr="00A423B9">
              <w:rPr>
                <w:rFonts w:ascii="Helvetica" w:hAnsi="Helvetica" w:cs="Helvetica"/>
                <w:b/>
                <w:bCs/>
                <w:color w:val="438BCC"/>
                <w:sz w:val="28"/>
                <w:szCs w:val="28"/>
              </w:rPr>
              <w:t xml:space="preserve">Henry Hub </w:t>
            </w:r>
            <w:r w:rsidRPr="00A423B9">
              <w:rPr>
                <w:rFonts w:ascii="Helvetica" w:hAnsi="Helvetica" w:cs="Helvetica"/>
                <w:sz w:val="28"/>
                <w:szCs w:val="28"/>
              </w:rPr>
              <w:t>as the prospect of Rover entering service in 2017 looked highly unlikely.</w:t>
            </w:r>
          </w:p>
        </w:tc>
        <w:tc>
          <w:tcPr>
            <w:tcW w:w="324" w:type="dxa"/>
            <w:tcMar>
              <w:top w:w="20" w:type="nil"/>
              <w:left w:w="500" w:type="nil"/>
              <w:bottom w:w="200" w:type="nil"/>
              <w:right w:w="20" w:type="nil"/>
            </w:tcMar>
          </w:tcPr>
          <w:p w14:paraId="0118CC0A"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05E6B86D" wp14:editId="7F3DD0A9">
                  <wp:extent cx="204470" cy="204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2D5FD187"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6AA8EDCA"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By May 9, the day before FERC issued a ruling halting some construction activity on the project, the same July through December strip averaged a 45 cents/MMBtu discount to </w:t>
            </w:r>
            <w:r w:rsidRPr="00A423B9">
              <w:rPr>
                <w:rFonts w:ascii="Helvetica" w:hAnsi="Helvetica" w:cs="Helvetica"/>
                <w:b/>
                <w:bCs/>
                <w:color w:val="438BCC"/>
                <w:sz w:val="28"/>
                <w:szCs w:val="28"/>
              </w:rPr>
              <w:t xml:space="preserve">Henry </w:t>
            </w:r>
            <w:proofErr w:type="gramStart"/>
            <w:r w:rsidRPr="00A423B9">
              <w:rPr>
                <w:rFonts w:ascii="Helvetica" w:hAnsi="Helvetica" w:cs="Helvetica"/>
                <w:b/>
                <w:bCs/>
                <w:color w:val="438BCC"/>
                <w:sz w:val="28"/>
                <w:szCs w:val="28"/>
              </w:rPr>
              <w:t xml:space="preserve">Hub </w:t>
            </w:r>
            <w:r w:rsidRPr="00A423B9">
              <w:rPr>
                <w:rFonts w:ascii="Helvetica" w:hAnsi="Helvetica" w:cs="Helvetica"/>
                <w:sz w:val="28"/>
                <w:szCs w:val="28"/>
              </w:rPr>
              <w:t>,</w:t>
            </w:r>
            <w:proofErr w:type="gramEnd"/>
            <w:r w:rsidRPr="00A423B9">
              <w:rPr>
                <w:rFonts w:ascii="Helvetica" w:hAnsi="Helvetica" w:cs="Helvetica"/>
                <w:sz w:val="28"/>
                <w:szCs w:val="28"/>
              </w:rPr>
              <w:t xml:space="preserve"> a 60-cent rally in the span of just three months.</w:t>
            </w:r>
          </w:p>
        </w:tc>
        <w:tc>
          <w:tcPr>
            <w:tcW w:w="324" w:type="dxa"/>
            <w:tcMar>
              <w:top w:w="20" w:type="nil"/>
              <w:left w:w="500" w:type="nil"/>
              <w:bottom w:w="200" w:type="nil"/>
              <w:right w:w="20" w:type="nil"/>
            </w:tcMar>
          </w:tcPr>
          <w:p w14:paraId="6DB755B4"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017AE3E7" wp14:editId="6285B5CF">
                  <wp:extent cx="204470" cy="204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34962BD1"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4FF5FAB0"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As a result of FERC's letter halting portions of construction as well as other issues in the past month that put further pressure on Rover's July 1 in-service date, the July through December 2017 strip has once again weakened, down to a 77-cent/MMBtu discount to </w:t>
            </w:r>
            <w:r w:rsidRPr="00A423B9">
              <w:rPr>
                <w:rFonts w:ascii="Helvetica" w:hAnsi="Helvetica" w:cs="Helvetica"/>
                <w:b/>
                <w:bCs/>
                <w:color w:val="438BCC"/>
                <w:sz w:val="28"/>
                <w:szCs w:val="28"/>
              </w:rPr>
              <w:t xml:space="preserve">Henry </w:t>
            </w:r>
            <w:proofErr w:type="gramStart"/>
            <w:r w:rsidRPr="00A423B9">
              <w:rPr>
                <w:rFonts w:ascii="Helvetica" w:hAnsi="Helvetica" w:cs="Helvetica"/>
                <w:b/>
                <w:bCs/>
                <w:color w:val="438BCC"/>
                <w:sz w:val="28"/>
                <w:szCs w:val="28"/>
              </w:rPr>
              <w:t xml:space="preserve">Hub </w:t>
            </w:r>
            <w:r w:rsidRPr="00A423B9">
              <w:rPr>
                <w:rFonts w:ascii="Helvetica" w:hAnsi="Helvetica" w:cs="Helvetica"/>
                <w:sz w:val="28"/>
                <w:szCs w:val="28"/>
              </w:rPr>
              <w:t>.</w:t>
            </w:r>
            <w:proofErr w:type="gramEnd"/>
          </w:p>
        </w:tc>
        <w:tc>
          <w:tcPr>
            <w:tcW w:w="324" w:type="dxa"/>
            <w:tcMar>
              <w:top w:w="20" w:type="nil"/>
              <w:left w:w="500" w:type="nil"/>
              <w:bottom w:w="200" w:type="nil"/>
              <w:right w:w="20" w:type="nil"/>
            </w:tcMar>
          </w:tcPr>
          <w:p w14:paraId="2A9F1931"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3E9CBC70" wp14:editId="1DF5EBC2">
                  <wp:extent cx="204470" cy="204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10C09438"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001BC18E"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The more than 30-cent/MMBtu swing since May 9 is particularly impactful to Northeast producers whose returns are often tied directly to pricing at the </w:t>
            </w:r>
            <w:r w:rsidRPr="00A423B9">
              <w:rPr>
                <w:rFonts w:ascii="Helvetica" w:hAnsi="Helvetica" w:cs="Helvetica"/>
                <w:b/>
                <w:bCs/>
                <w:color w:val="438BCC"/>
                <w:sz w:val="28"/>
                <w:szCs w:val="28"/>
              </w:rPr>
              <w:t xml:space="preserve">Dominion South </w:t>
            </w:r>
            <w:r w:rsidRPr="00A423B9">
              <w:rPr>
                <w:rFonts w:ascii="Helvetica" w:hAnsi="Helvetica" w:cs="Helvetica"/>
                <w:sz w:val="28"/>
                <w:szCs w:val="28"/>
              </w:rPr>
              <w:t xml:space="preserve">Hub. </w:t>
            </w:r>
            <w:proofErr w:type="spellStart"/>
            <w:r w:rsidRPr="00A423B9">
              <w:rPr>
                <w:rFonts w:ascii="Helvetica" w:hAnsi="Helvetica" w:cs="Helvetica"/>
                <w:sz w:val="28"/>
                <w:szCs w:val="28"/>
              </w:rPr>
              <w:t>Platts</w:t>
            </w:r>
            <w:proofErr w:type="spellEnd"/>
            <w:r w:rsidRPr="00A423B9">
              <w:rPr>
                <w:rFonts w:ascii="Helvetica" w:hAnsi="Helvetica" w:cs="Helvetica"/>
                <w:sz w:val="28"/>
                <w:szCs w:val="28"/>
              </w:rPr>
              <w:t xml:space="preserve"> Internal Rate of Return analysis shows that a 30-cent/MMBtu decrease in </w:t>
            </w:r>
            <w:r w:rsidRPr="00A423B9">
              <w:rPr>
                <w:rFonts w:ascii="Helvetica" w:hAnsi="Helvetica" w:cs="Helvetica"/>
                <w:b/>
                <w:bCs/>
                <w:color w:val="438BCC"/>
                <w:sz w:val="28"/>
                <w:szCs w:val="28"/>
              </w:rPr>
              <w:t xml:space="preserve">Dominion South </w:t>
            </w:r>
            <w:r w:rsidRPr="00A423B9">
              <w:rPr>
                <w:rFonts w:ascii="Helvetica" w:hAnsi="Helvetica" w:cs="Helvetica"/>
                <w:sz w:val="28"/>
                <w:szCs w:val="28"/>
              </w:rPr>
              <w:t>pricing is enough to decrease rates of return by six percentage points.</w:t>
            </w:r>
          </w:p>
        </w:tc>
        <w:tc>
          <w:tcPr>
            <w:tcW w:w="324" w:type="dxa"/>
            <w:tcMar>
              <w:top w:w="20" w:type="nil"/>
              <w:left w:w="500" w:type="nil"/>
              <w:bottom w:w="200" w:type="nil"/>
              <w:right w:w="20" w:type="nil"/>
            </w:tcMar>
          </w:tcPr>
          <w:p w14:paraId="43DD02C8"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7E62277F" wp14:editId="169231EB">
                  <wp:extent cx="204470" cy="204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60E3E1F9" w14:textId="77777777" w:rsidTr="00A423B9">
        <w:tblPrEx>
          <w:tblBorders>
            <w:top w:val="none" w:sz="0" w:space="0" w:color="auto"/>
          </w:tblBorders>
          <w:tblCellMar>
            <w:top w:w="0" w:type="dxa"/>
            <w:bottom w:w="0" w:type="dxa"/>
          </w:tblCellMar>
        </w:tblPrEx>
        <w:tc>
          <w:tcPr>
            <w:tcW w:w="15456" w:type="dxa"/>
            <w:tcMar>
              <w:top w:w="20" w:type="nil"/>
              <w:left w:w="500" w:type="nil"/>
              <w:bottom w:w="200" w:type="nil"/>
              <w:right w:w="20" w:type="nil"/>
            </w:tcMar>
          </w:tcPr>
          <w:p w14:paraId="4702D6E0" w14:textId="77777777" w:rsidR="00A423B9" w:rsidRPr="00A423B9" w:rsidRDefault="00A423B9" w:rsidP="00A423B9">
            <w:pPr>
              <w:widowControl w:val="0"/>
              <w:autoSpaceDE w:val="0"/>
              <w:autoSpaceDN w:val="0"/>
              <w:adjustRightInd w:val="0"/>
              <w:rPr>
                <w:rFonts w:ascii="Calibri" w:hAnsi="Calibri" w:cs="Calibri"/>
                <w:sz w:val="28"/>
                <w:szCs w:val="28"/>
              </w:rPr>
            </w:pPr>
            <w:r w:rsidRPr="00A423B9">
              <w:rPr>
                <w:rFonts w:ascii="Helvetica" w:hAnsi="Helvetica" w:cs="Helvetica"/>
                <w:b/>
                <w:bCs/>
                <w:color w:val="438BCC"/>
                <w:sz w:val="28"/>
                <w:szCs w:val="28"/>
              </w:rPr>
              <w:t xml:space="preserve">Gas </w:t>
            </w:r>
            <w:r w:rsidRPr="00A423B9">
              <w:rPr>
                <w:rFonts w:ascii="Helvetica" w:hAnsi="Helvetica" w:cs="Helvetica"/>
                <w:sz w:val="28"/>
                <w:szCs w:val="28"/>
              </w:rPr>
              <w:t xml:space="preserve">-fired </w:t>
            </w:r>
            <w:r w:rsidRPr="00A423B9">
              <w:rPr>
                <w:rFonts w:ascii="Helvetica" w:hAnsi="Helvetica" w:cs="Helvetica"/>
                <w:b/>
                <w:bCs/>
                <w:color w:val="438BCC"/>
                <w:sz w:val="28"/>
                <w:szCs w:val="28"/>
              </w:rPr>
              <w:t xml:space="preserve">electricity </w:t>
            </w:r>
            <w:r w:rsidRPr="00A423B9">
              <w:rPr>
                <w:rFonts w:ascii="Helvetica" w:hAnsi="Helvetica" w:cs="Helvetica"/>
                <w:sz w:val="28"/>
                <w:szCs w:val="28"/>
              </w:rPr>
              <w:t>generators are also looking for price protection in the current environment, with seasonal storage and hedging two ways they can achieve that.</w:t>
            </w:r>
          </w:p>
        </w:tc>
        <w:tc>
          <w:tcPr>
            <w:tcW w:w="324" w:type="dxa"/>
            <w:tcMar>
              <w:top w:w="20" w:type="nil"/>
              <w:left w:w="500" w:type="nil"/>
              <w:bottom w:w="200" w:type="nil"/>
              <w:right w:w="20" w:type="nil"/>
            </w:tcMar>
          </w:tcPr>
          <w:p w14:paraId="52FA217F" w14:textId="77777777" w:rsidR="00A423B9" w:rsidRDefault="00A423B9" w:rsidP="00A423B9">
            <w:pPr>
              <w:widowControl w:val="0"/>
              <w:autoSpaceDE w:val="0"/>
              <w:autoSpaceDN w:val="0"/>
              <w:adjustRightInd w:val="0"/>
              <w:rPr>
                <w:rFonts w:ascii="Calibri" w:hAnsi="Calibri" w:cs="Calibri"/>
                <w:sz w:val="22"/>
                <w:szCs w:val="22"/>
              </w:rPr>
            </w:pPr>
            <w:r>
              <w:rPr>
                <w:rFonts w:ascii="Helvetica" w:hAnsi="Helvetica" w:cs="Helvetica"/>
                <w:noProof/>
                <w:sz w:val="20"/>
                <w:szCs w:val="20"/>
              </w:rPr>
              <w:drawing>
                <wp:inline distT="0" distB="0" distL="0" distR="0" wp14:anchorId="0191C4BD" wp14:editId="50353B42">
                  <wp:extent cx="204470" cy="204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r>
      <w:tr w:rsidR="00A423B9" w14:paraId="44CE6E98" w14:textId="77777777" w:rsidTr="00A423B9">
        <w:tblPrEx>
          <w:tblCellMar>
            <w:top w:w="0" w:type="dxa"/>
            <w:bottom w:w="0" w:type="dxa"/>
          </w:tblCellMar>
        </w:tblPrEx>
        <w:tc>
          <w:tcPr>
            <w:tcW w:w="15456" w:type="dxa"/>
            <w:tcMar>
              <w:top w:w="20" w:type="nil"/>
              <w:left w:w="500" w:type="nil"/>
              <w:bottom w:w="200" w:type="nil"/>
              <w:right w:w="20" w:type="nil"/>
            </w:tcMar>
          </w:tcPr>
          <w:p w14:paraId="2160E952" w14:textId="77777777" w:rsidR="00A423B9" w:rsidRPr="00A423B9" w:rsidRDefault="00A423B9" w:rsidP="00A423B9">
            <w:pPr>
              <w:widowControl w:val="0"/>
              <w:autoSpaceDE w:val="0"/>
              <w:autoSpaceDN w:val="0"/>
              <w:adjustRightInd w:val="0"/>
              <w:jc w:val="both"/>
              <w:rPr>
                <w:rFonts w:ascii="Calibri" w:hAnsi="Calibri" w:cs="Calibri"/>
                <w:sz w:val="28"/>
                <w:szCs w:val="28"/>
              </w:rPr>
            </w:pPr>
            <w:r w:rsidRPr="00A423B9">
              <w:rPr>
                <w:rFonts w:ascii="Helvetica" w:hAnsi="Helvetica" w:cs="Helvetica"/>
                <w:sz w:val="28"/>
                <w:szCs w:val="28"/>
              </w:rPr>
              <w:t xml:space="preserve">"Our view is when prices are low, this is probably the time to hedge," said Kenneth </w:t>
            </w:r>
            <w:proofErr w:type="spellStart"/>
            <w:r w:rsidRPr="00A423B9">
              <w:rPr>
                <w:rFonts w:ascii="Helvetica" w:hAnsi="Helvetica" w:cs="Helvetica"/>
                <w:sz w:val="28"/>
                <w:szCs w:val="28"/>
              </w:rPr>
              <w:t>Yagelski</w:t>
            </w:r>
            <w:proofErr w:type="spellEnd"/>
            <w:r w:rsidRPr="00A423B9">
              <w:rPr>
                <w:rFonts w:ascii="Helvetica" w:hAnsi="Helvetica" w:cs="Helvetica"/>
                <w:sz w:val="28"/>
                <w:szCs w:val="28"/>
              </w:rPr>
              <w:t xml:space="preserve">, managing director of </w:t>
            </w:r>
            <w:r w:rsidRPr="00A423B9">
              <w:rPr>
                <w:rFonts w:ascii="Helvetica" w:hAnsi="Helvetica" w:cs="Helvetica"/>
                <w:b/>
                <w:bCs/>
                <w:color w:val="438BCC"/>
                <w:sz w:val="28"/>
                <w:szCs w:val="28"/>
              </w:rPr>
              <w:t xml:space="preserve">gas </w:t>
            </w:r>
            <w:r w:rsidRPr="00A423B9">
              <w:rPr>
                <w:rFonts w:ascii="Helvetica" w:hAnsi="Helvetica" w:cs="Helvetica"/>
                <w:sz w:val="28"/>
                <w:szCs w:val="28"/>
              </w:rPr>
              <w:t xml:space="preserve">supply for Southern Company </w:t>
            </w:r>
            <w:proofErr w:type="gramStart"/>
            <w:r w:rsidRPr="00A423B9">
              <w:rPr>
                <w:rFonts w:ascii="Helvetica" w:hAnsi="Helvetica" w:cs="Helvetica"/>
                <w:b/>
                <w:bCs/>
                <w:color w:val="438BCC"/>
                <w:sz w:val="28"/>
                <w:szCs w:val="28"/>
              </w:rPr>
              <w:t xml:space="preserve">Gas </w:t>
            </w:r>
            <w:r w:rsidRPr="00A423B9">
              <w:rPr>
                <w:rFonts w:ascii="Helvetica" w:hAnsi="Helvetica" w:cs="Helvetica"/>
                <w:sz w:val="28"/>
                <w:szCs w:val="28"/>
              </w:rPr>
              <w:t>.</w:t>
            </w:r>
            <w:proofErr w:type="gramEnd"/>
            <w:r w:rsidRPr="00A423B9">
              <w:rPr>
                <w:rFonts w:ascii="Helvetica" w:hAnsi="Helvetica" w:cs="Helvetica"/>
                <w:sz w:val="28"/>
                <w:szCs w:val="28"/>
              </w:rPr>
              <w:t xml:space="preserve"> "Because, there's a better chance prices will increase in the future."</w:t>
            </w:r>
          </w:p>
        </w:tc>
        <w:tc>
          <w:tcPr>
            <w:tcW w:w="324" w:type="dxa"/>
            <w:tcMar>
              <w:top w:w="20" w:type="nil"/>
              <w:left w:w="500" w:type="nil"/>
              <w:bottom w:w="20" w:type="nil"/>
              <w:right w:w="20" w:type="nil"/>
            </w:tcMar>
            <w:vAlign w:val="center"/>
          </w:tcPr>
          <w:p w14:paraId="1DE3BCCB" w14:textId="77777777" w:rsidR="00A423B9" w:rsidRDefault="00A423B9" w:rsidP="00A423B9">
            <w:pPr>
              <w:widowControl w:val="0"/>
              <w:autoSpaceDE w:val="0"/>
              <w:autoSpaceDN w:val="0"/>
              <w:adjustRightInd w:val="0"/>
              <w:rPr>
                <w:rFonts w:ascii="Calibri" w:hAnsi="Calibri" w:cs="Calibri"/>
                <w:sz w:val="22"/>
                <w:szCs w:val="22"/>
              </w:rPr>
            </w:pPr>
          </w:p>
        </w:tc>
      </w:tr>
    </w:tbl>
    <w:p w14:paraId="3E75958F" w14:textId="77777777" w:rsidR="009553D3" w:rsidRDefault="00A423B9">
      <w:r>
        <w:rPr>
          <w:rFonts w:ascii="Calibri" w:hAnsi="Calibri" w:cs="Calibri"/>
          <w:sz w:val="22"/>
          <w:szCs w:val="22"/>
        </w:rPr>
        <w:t> </w:t>
      </w:r>
    </w:p>
    <w:sectPr w:rsidR="009553D3" w:rsidSect="008A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B9"/>
    <w:rsid w:val="001B669C"/>
    <w:rsid w:val="008A79A7"/>
    <w:rsid w:val="009553D3"/>
    <w:rsid w:val="00A423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C849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423B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3B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1254">
      <w:bodyDiv w:val="1"/>
      <w:marLeft w:val="0"/>
      <w:marRight w:val="0"/>
      <w:marTop w:val="0"/>
      <w:marBottom w:val="0"/>
      <w:divBdr>
        <w:top w:val="none" w:sz="0" w:space="0" w:color="auto"/>
        <w:left w:val="none" w:sz="0" w:space="0" w:color="auto"/>
        <w:bottom w:val="none" w:sz="0" w:space="0" w:color="auto"/>
        <w:right w:val="none" w:sz="0" w:space="0" w:color="auto"/>
      </w:divBdr>
    </w:div>
    <w:div w:id="1766534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4766</Characters>
  <Application>Microsoft Macintosh Word</Application>
  <DocSecurity>0</DocSecurity>
  <Lines>39</Lines>
  <Paragraphs>11</Paragraphs>
  <ScaleCrop>false</ScaleCrop>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2017-06-15T12:28:00Z</dcterms:created>
  <dcterms:modified xsi:type="dcterms:W3CDTF">2017-06-15T12:30:00Z</dcterms:modified>
</cp:coreProperties>
</file>