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9C9CC" w14:textId="77777777" w:rsidR="00171BB9" w:rsidRDefault="00171BB9"/>
    <w:p w14:paraId="2FA815AF" w14:textId="77777777" w:rsidR="00171BB9" w:rsidRPr="00171BB9" w:rsidRDefault="00171BB9" w:rsidP="00171BB9">
      <w:pPr>
        <w:pStyle w:val="Heading2"/>
        <w:shd w:val="clear" w:color="auto" w:fill="FFFFFF"/>
        <w:spacing w:before="30" w:beforeAutospacing="0" w:after="30" w:afterAutospacing="0"/>
        <w:rPr>
          <w:rFonts w:eastAsia="Times New Roman"/>
          <w:color w:val="000000"/>
          <w:sz w:val="28"/>
          <w:szCs w:val="28"/>
        </w:rPr>
      </w:pPr>
      <w:bookmarkStart w:id="0" w:name="_GoBack"/>
      <w:r w:rsidRPr="00171BB9">
        <w:rPr>
          <w:rFonts w:ascii="Helvetica" w:eastAsia="Times New Roman" w:hAnsi="Helvetica"/>
          <w:color w:val="000000"/>
          <w:sz w:val="28"/>
          <w:szCs w:val="28"/>
        </w:rPr>
        <w:t>Northeast US expansions may face underutilization</w:t>
      </w:r>
    </w:p>
    <w:bookmarkEnd w:id="0"/>
    <w:p w14:paraId="0AF9B0D9" w14:textId="77777777" w:rsidR="00171BB9" w:rsidRPr="00171BB9" w:rsidRDefault="00171BB9">
      <w:pPr>
        <w:rPr>
          <w:sz w:val="28"/>
          <w:szCs w:val="28"/>
        </w:rPr>
      </w:pPr>
    </w:p>
    <w:tbl>
      <w:tblPr>
        <w:tblW w:w="0" w:type="auto"/>
        <w:tblInd w:w="-108" w:type="dxa"/>
        <w:tblBorders>
          <w:top w:val="nil"/>
          <w:left w:val="nil"/>
          <w:right w:val="nil"/>
        </w:tblBorders>
        <w:tblLayout w:type="fixed"/>
        <w:tblLook w:val="0000" w:firstRow="0" w:lastRow="0" w:firstColumn="0" w:lastColumn="0" w:noHBand="0" w:noVBand="0"/>
      </w:tblPr>
      <w:tblGrid>
        <w:gridCol w:w="17000"/>
        <w:gridCol w:w="536"/>
      </w:tblGrid>
      <w:tr w:rsidR="00171BB9" w:rsidRPr="00171BB9" w14:paraId="53BF66CC" w14:textId="77777777" w:rsidTr="00171BB9">
        <w:tblPrEx>
          <w:tblCellMar>
            <w:top w:w="0" w:type="dxa"/>
            <w:bottom w:w="0" w:type="dxa"/>
          </w:tblCellMar>
        </w:tblPrEx>
        <w:tc>
          <w:tcPr>
            <w:tcW w:w="17000" w:type="dxa"/>
            <w:tcMar>
              <w:top w:w="20" w:type="nil"/>
              <w:left w:w="500" w:type="nil"/>
              <w:bottom w:w="200" w:type="nil"/>
              <w:right w:w="20" w:type="nil"/>
            </w:tcMar>
          </w:tcPr>
          <w:p w14:paraId="16A4F98C" w14:textId="77777777" w:rsidR="00171BB9" w:rsidRPr="00171BB9" w:rsidRDefault="00171BB9">
            <w:pPr>
              <w:widowControl w:val="0"/>
              <w:autoSpaceDE w:val="0"/>
              <w:autoSpaceDN w:val="0"/>
              <w:adjustRightInd w:val="0"/>
              <w:jc w:val="both"/>
              <w:rPr>
                <w:rFonts w:ascii="Calibri" w:hAnsi="Calibri" w:cs="Calibri"/>
                <w:sz w:val="28"/>
                <w:szCs w:val="28"/>
              </w:rPr>
            </w:pPr>
            <w:r w:rsidRPr="00171BB9">
              <w:rPr>
                <w:rFonts w:ascii="Helvetica" w:hAnsi="Helvetica" w:cs="Helvetica"/>
                <w:sz w:val="28"/>
                <w:szCs w:val="28"/>
              </w:rPr>
              <w:t xml:space="preserve">Some 18 </w:t>
            </w:r>
            <w:proofErr w:type="spellStart"/>
            <w:r w:rsidRPr="00171BB9">
              <w:rPr>
                <w:rFonts w:ascii="Helvetica" w:hAnsi="Helvetica" w:cs="Helvetica"/>
                <w:sz w:val="28"/>
                <w:szCs w:val="28"/>
              </w:rPr>
              <w:t>Bcf</w:t>
            </w:r>
            <w:proofErr w:type="spellEnd"/>
            <w:r w:rsidRPr="00171BB9">
              <w:rPr>
                <w:rFonts w:ascii="Helvetica" w:hAnsi="Helvetica" w:cs="Helvetica"/>
                <w:sz w:val="28"/>
                <w:szCs w:val="28"/>
              </w:rPr>
              <w:t xml:space="preserve">/d to 20 </w:t>
            </w:r>
            <w:proofErr w:type="spellStart"/>
            <w:r w:rsidRPr="00171BB9">
              <w:rPr>
                <w:rFonts w:ascii="Helvetica" w:hAnsi="Helvetica" w:cs="Helvetica"/>
                <w:sz w:val="28"/>
                <w:szCs w:val="28"/>
              </w:rPr>
              <w:t>Bcf</w:t>
            </w:r>
            <w:proofErr w:type="spellEnd"/>
            <w:r w:rsidRPr="00171BB9">
              <w:rPr>
                <w:rFonts w:ascii="Helvetica" w:hAnsi="Helvetica" w:cs="Helvetica"/>
                <w:sz w:val="28"/>
                <w:szCs w:val="28"/>
              </w:rPr>
              <w:t xml:space="preserve">/d of new Northeast </w:t>
            </w:r>
            <w:r w:rsidRPr="00171BB9">
              <w:rPr>
                <w:rFonts w:ascii="Helvetica" w:hAnsi="Helvetica" w:cs="Helvetica"/>
                <w:b/>
                <w:bCs/>
                <w:color w:val="438BCC"/>
                <w:sz w:val="28"/>
                <w:szCs w:val="28"/>
              </w:rPr>
              <w:t xml:space="preserve">gas </w:t>
            </w:r>
            <w:r w:rsidRPr="00171BB9">
              <w:rPr>
                <w:rFonts w:ascii="Helvetica" w:hAnsi="Helvetica" w:cs="Helvetica"/>
                <w:sz w:val="28"/>
                <w:szCs w:val="28"/>
              </w:rPr>
              <w:t xml:space="preserve">takeaway capacity expected to start up in the next several years, that should be good news for a market that has been pushing for more options to move Marcellus and Utica </w:t>
            </w:r>
            <w:r w:rsidRPr="00171BB9">
              <w:rPr>
                <w:rFonts w:ascii="Helvetica" w:hAnsi="Helvetica" w:cs="Helvetica"/>
                <w:b/>
                <w:bCs/>
                <w:color w:val="438BCC"/>
                <w:sz w:val="28"/>
                <w:szCs w:val="28"/>
              </w:rPr>
              <w:t xml:space="preserve">shale </w:t>
            </w:r>
            <w:r w:rsidRPr="00171BB9">
              <w:rPr>
                <w:rFonts w:ascii="Helvetica" w:hAnsi="Helvetica" w:cs="Helvetica"/>
                <w:sz w:val="28"/>
                <w:szCs w:val="28"/>
              </w:rPr>
              <w:t xml:space="preserve">output to power plants and </w:t>
            </w:r>
            <w:r w:rsidRPr="00171BB9">
              <w:rPr>
                <w:rFonts w:ascii="Helvetica" w:hAnsi="Helvetica" w:cs="Helvetica"/>
                <w:b/>
                <w:bCs/>
                <w:color w:val="438BCC"/>
                <w:sz w:val="28"/>
                <w:szCs w:val="28"/>
              </w:rPr>
              <w:t xml:space="preserve">LNG </w:t>
            </w:r>
            <w:r w:rsidRPr="00171BB9">
              <w:rPr>
                <w:rFonts w:ascii="Helvetica" w:hAnsi="Helvetica" w:cs="Helvetica"/>
                <w:sz w:val="28"/>
                <w:szCs w:val="28"/>
              </w:rPr>
              <w:t>export terminals in the Southeast.</w:t>
            </w:r>
          </w:p>
        </w:tc>
        <w:tc>
          <w:tcPr>
            <w:tcW w:w="536" w:type="dxa"/>
            <w:tcMar>
              <w:top w:w="20" w:type="nil"/>
              <w:left w:w="500" w:type="nil"/>
              <w:bottom w:w="200" w:type="nil"/>
              <w:right w:w="20" w:type="nil"/>
            </w:tcMar>
          </w:tcPr>
          <w:p w14:paraId="520638D7" w14:textId="65D8E9AF" w:rsidR="00171BB9" w:rsidRPr="00171BB9" w:rsidRDefault="00171BB9">
            <w:pPr>
              <w:widowControl w:val="0"/>
              <w:autoSpaceDE w:val="0"/>
              <w:autoSpaceDN w:val="0"/>
              <w:adjustRightInd w:val="0"/>
              <w:rPr>
                <w:rFonts w:ascii="Calibri" w:hAnsi="Calibri" w:cs="Calibri"/>
                <w:sz w:val="28"/>
                <w:szCs w:val="28"/>
              </w:rPr>
            </w:pPr>
            <w:r w:rsidRPr="00171BB9">
              <w:rPr>
                <w:rFonts w:ascii="Helvetica" w:hAnsi="Helvetica" w:cs="Helvetica"/>
                <w:noProof/>
                <w:sz w:val="28"/>
                <w:szCs w:val="28"/>
              </w:rPr>
              <w:drawing>
                <wp:inline distT="0" distB="0" distL="0" distR="0" wp14:anchorId="5DCB6BC6" wp14:editId="0AAE900D">
                  <wp:extent cx="203200" cy="203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171BB9" w:rsidRPr="00171BB9" w14:paraId="23A034E3" w14:textId="77777777" w:rsidTr="00171BB9">
        <w:tblPrEx>
          <w:tblBorders>
            <w:top w:val="none" w:sz="0" w:space="0" w:color="auto"/>
          </w:tblBorders>
          <w:tblCellMar>
            <w:top w:w="0" w:type="dxa"/>
            <w:bottom w:w="0" w:type="dxa"/>
          </w:tblCellMar>
        </w:tblPrEx>
        <w:tc>
          <w:tcPr>
            <w:tcW w:w="17000" w:type="dxa"/>
            <w:tcMar>
              <w:top w:w="20" w:type="nil"/>
              <w:left w:w="500" w:type="nil"/>
              <w:bottom w:w="200" w:type="nil"/>
              <w:right w:w="20" w:type="nil"/>
            </w:tcMar>
          </w:tcPr>
          <w:p w14:paraId="70D78004" w14:textId="77777777" w:rsidR="00171BB9" w:rsidRPr="00171BB9" w:rsidRDefault="00171BB9">
            <w:pPr>
              <w:widowControl w:val="0"/>
              <w:autoSpaceDE w:val="0"/>
              <w:autoSpaceDN w:val="0"/>
              <w:adjustRightInd w:val="0"/>
              <w:jc w:val="both"/>
              <w:rPr>
                <w:rFonts w:ascii="Calibri" w:hAnsi="Calibri" w:cs="Calibri"/>
                <w:sz w:val="28"/>
                <w:szCs w:val="28"/>
              </w:rPr>
            </w:pPr>
            <w:r w:rsidRPr="00171BB9">
              <w:rPr>
                <w:rFonts w:ascii="Helvetica" w:hAnsi="Helvetica" w:cs="Helvetica"/>
                <w:sz w:val="28"/>
                <w:szCs w:val="28"/>
              </w:rPr>
              <w:t xml:space="preserve">But producers aren't lifting the volumes of </w:t>
            </w:r>
            <w:r w:rsidRPr="00171BB9">
              <w:rPr>
                <w:rFonts w:ascii="Helvetica" w:hAnsi="Helvetica" w:cs="Helvetica"/>
                <w:b/>
                <w:bCs/>
                <w:color w:val="438BCC"/>
                <w:sz w:val="28"/>
                <w:szCs w:val="28"/>
              </w:rPr>
              <w:t xml:space="preserve">gas </w:t>
            </w:r>
            <w:r w:rsidRPr="00171BB9">
              <w:rPr>
                <w:rFonts w:ascii="Helvetica" w:hAnsi="Helvetica" w:cs="Helvetica"/>
                <w:sz w:val="28"/>
                <w:szCs w:val="28"/>
              </w:rPr>
              <w:t xml:space="preserve">needed to fill those pipelines and expansions, having only recently stepped up drilling after taking their foot off the pedal as prices fell to multi-year lows. That means that many of those lines face underutilization and won't be filled to their capacity with new production until at least 2019, according to data compiled by </w:t>
            </w:r>
            <w:proofErr w:type="spellStart"/>
            <w:r w:rsidRPr="00171BB9">
              <w:rPr>
                <w:rFonts w:ascii="Helvetica" w:hAnsi="Helvetica" w:cs="Helvetica"/>
                <w:sz w:val="28"/>
                <w:szCs w:val="28"/>
              </w:rPr>
              <w:t>Platts</w:t>
            </w:r>
            <w:proofErr w:type="spellEnd"/>
            <w:r w:rsidRPr="00171BB9">
              <w:rPr>
                <w:rFonts w:ascii="Helvetica" w:hAnsi="Helvetica" w:cs="Helvetica"/>
                <w:sz w:val="28"/>
                <w:szCs w:val="28"/>
              </w:rPr>
              <w:t xml:space="preserve"> Analytics' </w:t>
            </w:r>
            <w:proofErr w:type="spellStart"/>
            <w:r w:rsidRPr="00171BB9">
              <w:rPr>
                <w:rFonts w:ascii="Helvetica" w:hAnsi="Helvetica" w:cs="Helvetica"/>
                <w:sz w:val="28"/>
                <w:szCs w:val="28"/>
              </w:rPr>
              <w:t>Bentek</w:t>
            </w:r>
            <w:proofErr w:type="spellEnd"/>
            <w:r w:rsidRPr="00171BB9">
              <w:rPr>
                <w:rFonts w:ascii="Helvetica" w:hAnsi="Helvetica" w:cs="Helvetica"/>
                <w:sz w:val="28"/>
                <w:szCs w:val="28"/>
              </w:rPr>
              <w:t xml:space="preserve"> Energy that was released at an industry conference Monday in </w:t>
            </w:r>
            <w:proofErr w:type="gramStart"/>
            <w:r w:rsidRPr="00171BB9">
              <w:rPr>
                <w:rFonts w:ascii="Helvetica" w:hAnsi="Helvetica" w:cs="Helvetica"/>
                <w:b/>
                <w:bCs/>
                <w:color w:val="438BCC"/>
                <w:sz w:val="28"/>
                <w:szCs w:val="28"/>
              </w:rPr>
              <w:t xml:space="preserve">Boston </w:t>
            </w:r>
            <w:r w:rsidRPr="00171BB9">
              <w:rPr>
                <w:rFonts w:ascii="Helvetica" w:hAnsi="Helvetica" w:cs="Helvetica"/>
                <w:sz w:val="28"/>
                <w:szCs w:val="28"/>
              </w:rPr>
              <w:t>.</w:t>
            </w:r>
            <w:proofErr w:type="gramEnd"/>
          </w:p>
        </w:tc>
        <w:tc>
          <w:tcPr>
            <w:tcW w:w="536" w:type="dxa"/>
            <w:tcMar>
              <w:top w:w="20" w:type="nil"/>
              <w:left w:w="500" w:type="nil"/>
              <w:bottom w:w="200" w:type="nil"/>
              <w:right w:w="20" w:type="nil"/>
            </w:tcMar>
          </w:tcPr>
          <w:p w14:paraId="1657067A" w14:textId="2807C8E4" w:rsidR="00171BB9" w:rsidRPr="00171BB9" w:rsidRDefault="00171BB9">
            <w:pPr>
              <w:widowControl w:val="0"/>
              <w:autoSpaceDE w:val="0"/>
              <w:autoSpaceDN w:val="0"/>
              <w:adjustRightInd w:val="0"/>
              <w:rPr>
                <w:rFonts w:ascii="Calibri" w:hAnsi="Calibri" w:cs="Calibri"/>
                <w:sz w:val="28"/>
                <w:szCs w:val="28"/>
              </w:rPr>
            </w:pPr>
            <w:r w:rsidRPr="00171BB9">
              <w:rPr>
                <w:rFonts w:ascii="Helvetica" w:hAnsi="Helvetica" w:cs="Helvetica"/>
                <w:noProof/>
                <w:sz w:val="28"/>
                <w:szCs w:val="28"/>
              </w:rPr>
              <w:drawing>
                <wp:inline distT="0" distB="0" distL="0" distR="0" wp14:anchorId="5FF2825D" wp14:editId="5CAE5BE2">
                  <wp:extent cx="203200" cy="203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171BB9" w:rsidRPr="00171BB9" w14:paraId="1437CA99" w14:textId="77777777" w:rsidTr="00171BB9">
        <w:tblPrEx>
          <w:tblBorders>
            <w:top w:val="none" w:sz="0" w:space="0" w:color="auto"/>
          </w:tblBorders>
          <w:tblCellMar>
            <w:top w:w="0" w:type="dxa"/>
            <w:bottom w:w="0" w:type="dxa"/>
          </w:tblCellMar>
        </w:tblPrEx>
        <w:tc>
          <w:tcPr>
            <w:tcW w:w="17000" w:type="dxa"/>
            <w:tcMar>
              <w:top w:w="20" w:type="nil"/>
              <w:left w:w="500" w:type="nil"/>
              <w:bottom w:w="200" w:type="nil"/>
              <w:right w:w="20" w:type="nil"/>
            </w:tcMar>
          </w:tcPr>
          <w:p w14:paraId="5419B5A4" w14:textId="77777777" w:rsidR="00171BB9" w:rsidRPr="00171BB9" w:rsidRDefault="00171BB9">
            <w:pPr>
              <w:widowControl w:val="0"/>
              <w:autoSpaceDE w:val="0"/>
              <w:autoSpaceDN w:val="0"/>
              <w:adjustRightInd w:val="0"/>
              <w:jc w:val="both"/>
              <w:rPr>
                <w:rFonts w:ascii="Calibri" w:hAnsi="Calibri" w:cs="Calibri"/>
                <w:sz w:val="28"/>
                <w:szCs w:val="28"/>
              </w:rPr>
            </w:pPr>
            <w:r w:rsidRPr="00171BB9">
              <w:rPr>
                <w:rFonts w:ascii="Helvetica" w:hAnsi="Helvetica" w:cs="Helvetica"/>
                <w:sz w:val="28"/>
                <w:szCs w:val="28"/>
              </w:rPr>
              <w:t xml:space="preserve">"This mismatch between new capacity and production will only continue," Luke Jackson, a senior energy analyst at S&amp;P </w:t>
            </w:r>
            <w:r w:rsidRPr="00171BB9">
              <w:rPr>
                <w:rFonts w:ascii="Helvetica" w:hAnsi="Helvetica" w:cs="Helvetica"/>
                <w:b/>
                <w:bCs/>
                <w:color w:val="438BCC"/>
                <w:sz w:val="28"/>
                <w:szCs w:val="28"/>
              </w:rPr>
              <w:t xml:space="preserve">Global </w:t>
            </w:r>
            <w:proofErr w:type="spellStart"/>
            <w:r w:rsidRPr="00171BB9">
              <w:rPr>
                <w:rFonts w:ascii="Helvetica" w:hAnsi="Helvetica" w:cs="Helvetica"/>
                <w:sz w:val="28"/>
                <w:szCs w:val="28"/>
              </w:rPr>
              <w:t>Platts</w:t>
            </w:r>
            <w:proofErr w:type="spellEnd"/>
            <w:r w:rsidRPr="00171BB9">
              <w:rPr>
                <w:rFonts w:ascii="Helvetica" w:hAnsi="Helvetica" w:cs="Helvetica"/>
                <w:sz w:val="28"/>
                <w:szCs w:val="28"/>
              </w:rPr>
              <w:t xml:space="preserve">, said at the LDC </w:t>
            </w:r>
            <w:r w:rsidRPr="00171BB9">
              <w:rPr>
                <w:rFonts w:ascii="Helvetica" w:hAnsi="Helvetica" w:cs="Helvetica"/>
                <w:b/>
                <w:bCs/>
                <w:color w:val="438BCC"/>
                <w:sz w:val="28"/>
                <w:szCs w:val="28"/>
              </w:rPr>
              <w:t xml:space="preserve">Gas </w:t>
            </w:r>
            <w:r w:rsidRPr="00171BB9">
              <w:rPr>
                <w:rFonts w:ascii="Helvetica" w:hAnsi="Helvetica" w:cs="Helvetica"/>
                <w:sz w:val="28"/>
                <w:szCs w:val="28"/>
              </w:rPr>
              <w:t>Forums Northeast conference.</w:t>
            </w:r>
          </w:p>
        </w:tc>
        <w:tc>
          <w:tcPr>
            <w:tcW w:w="536" w:type="dxa"/>
            <w:tcMar>
              <w:top w:w="20" w:type="nil"/>
              <w:left w:w="500" w:type="nil"/>
              <w:bottom w:w="200" w:type="nil"/>
              <w:right w:w="20" w:type="nil"/>
            </w:tcMar>
          </w:tcPr>
          <w:p w14:paraId="795A31DC" w14:textId="4FE042F4" w:rsidR="00171BB9" w:rsidRPr="00171BB9" w:rsidRDefault="00171BB9">
            <w:pPr>
              <w:widowControl w:val="0"/>
              <w:autoSpaceDE w:val="0"/>
              <w:autoSpaceDN w:val="0"/>
              <w:adjustRightInd w:val="0"/>
              <w:rPr>
                <w:rFonts w:ascii="Calibri" w:hAnsi="Calibri" w:cs="Calibri"/>
                <w:sz w:val="28"/>
                <w:szCs w:val="28"/>
              </w:rPr>
            </w:pPr>
            <w:r w:rsidRPr="00171BB9">
              <w:rPr>
                <w:rFonts w:ascii="Helvetica" w:hAnsi="Helvetica" w:cs="Helvetica"/>
                <w:noProof/>
                <w:sz w:val="28"/>
                <w:szCs w:val="28"/>
              </w:rPr>
              <w:drawing>
                <wp:inline distT="0" distB="0" distL="0" distR="0" wp14:anchorId="75801827" wp14:editId="798DCC37">
                  <wp:extent cx="203200" cy="203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171BB9" w:rsidRPr="00171BB9" w14:paraId="3767F407" w14:textId="77777777" w:rsidTr="00171BB9">
        <w:tblPrEx>
          <w:tblBorders>
            <w:top w:val="none" w:sz="0" w:space="0" w:color="auto"/>
          </w:tblBorders>
          <w:tblCellMar>
            <w:top w:w="0" w:type="dxa"/>
            <w:bottom w:w="0" w:type="dxa"/>
          </w:tblCellMar>
        </w:tblPrEx>
        <w:tc>
          <w:tcPr>
            <w:tcW w:w="17000" w:type="dxa"/>
            <w:tcMar>
              <w:top w:w="20" w:type="nil"/>
              <w:left w:w="500" w:type="nil"/>
              <w:bottom w:w="200" w:type="nil"/>
              <w:right w:w="20" w:type="nil"/>
            </w:tcMar>
          </w:tcPr>
          <w:p w14:paraId="3B6404DB" w14:textId="5B074A79" w:rsidR="00171BB9" w:rsidRPr="00171BB9" w:rsidRDefault="00171BB9">
            <w:pPr>
              <w:widowControl w:val="0"/>
              <w:autoSpaceDE w:val="0"/>
              <w:autoSpaceDN w:val="0"/>
              <w:adjustRightInd w:val="0"/>
              <w:jc w:val="both"/>
              <w:rPr>
                <w:rFonts w:ascii="Calibri" w:hAnsi="Calibri" w:cs="Calibri"/>
                <w:sz w:val="28"/>
                <w:szCs w:val="28"/>
              </w:rPr>
            </w:pPr>
            <w:r w:rsidRPr="00171BB9">
              <w:rPr>
                <w:rFonts w:ascii="Helvetica" w:hAnsi="Helvetica" w:cs="Helvetica"/>
                <w:noProof/>
                <w:sz w:val="28"/>
                <w:szCs w:val="28"/>
              </w:rPr>
              <w:drawing>
                <wp:inline distT="0" distB="0" distL="0" distR="0" wp14:anchorId="4E2B7F5C" wp14:editId="274346FE">
                  <wp:extent cx="6299200" cy="3276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200" cy="3276600"/>
                          </a:xfrm>
                          <a:prstGeom prst="rect">
                            <a:avLst/>
                          </a:prstGeom>
                          <a:noFill/>
                          <a:ln>
                            <a:noFill/>
                          </a:ln>
                        </pic:spPr>
                      </pic:pic>
                    </a:graphicData>
                  </a:graphic>
                </wp:inline>
              </w:drawing>
            </w:r>
            <w:r w:rsidRPr="00171BB9">
              <w:rPr>
                <w:rFonts w:ascii="Helvetica" w:hAnsi="Helvetica" w:cs="Helvetica"/>
                <w:sz w:val="28"/>
                <w:szCs w:val="28"/>
              </w:rPr>
              <w:t>...</w:t>
            </w:r>
          </w:p>
        </w:tc>
        <w:tc>
          <w:tcPr>
            <w:tcW w:w="536" w:type="dxa"/>
            <w:tcMar>
              <w:top w:w="20" w:type="nil"/>
              <w:left w:w="500" w:type="nil"/>
              <w:bottom w:w="200" w:type="nil"/>
              <w:right w:w="20" w:type="nil"/>
            </w:tcMar>
          </w:tcPr>
          <w:p w14:paraId="071B2505" w14:textId="514C38DE" w:rsidR="00171BB9" w:rsidRPr="00171BB9" w:rsidRDefault="00171BB9">
            <w:pPr>
              <w:widowControl w:val="0"/>
              <w:autoSpaceDE w:val="0"/>
              <w:autoSpaceDN w:val="0"/>
              <w:adjustRightInd w:val="0"/>
              <w:rPr>
                <w:rFonts w:ascii="Calibri" w:hAnsi="Calibri" w:cs="Calibri"/>
                <w:sz w:val="28"/>
                <w:szCs w:val="28"/>
              </w:rPr>
            </w:pPr>
            <w:r w:rsidRPr="00171BB9">
              <w:rPr>
                <w:rFonts w:ascii="Helvetica" w:hAnsi="Helvetica" w:cs="Helvetica"/>
                <w:noProof/>
                <w:sz w:val="28"/>
                <w:szCs w:val="28"/>
              </w:rPr>
              <w:drawing>
                <wp:inline distT="0" distB="0" distL="0" distR="0" wp14:anchorId="75C1DB8A" wp14:editId="260963F3">
                  <wp:extent cx="203200" cy="203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171BB9" w:rsidRPr="00171BB9" w14:paraId="77FA13A5" w14:textId="77777777" w:rsidTr="00171BB9">
        <w:tblPrEx>
          <w:tblBorders>
            <w:top w:val="none" w:sz="0" w:space="0" w:color="auto"/>
          </w:tblBorders>
          <w:tblCellMar>
            <w:top w:w="0" w:type="dxa"/>
            <w:bottom w:w="0" w:type="dxa"/>
          </w:tblCellMar>
        </w:tblPrEx>
        <w:tc>
          <w:tcPr>
            <w:tcW w:w="17000" w:type="dxa"/>
            <w:tcMar>
              <w:top w:w="20" w:type="nil"/>
              <w:left w:w="500" w:type="nil"/>
              <w:bottom w:w="200" w:type="nil"/>
              <w:right w:w="20" w:type="nil"/>
            </w:tcMar>
          </w:tcPr>
          <w:p w14:paraId="2A0987C3" w14:textId="77777777" w:rsidR="00171BB9" w:rsidRPr="00171BB9" w:rsidRDefault="00171BB9">
            <w:pPr>
              <w:widowControl w:val="0"/>
              <w:autoSpaceDE w:val="0"/>
              <w:autoSpaceDN w:val="0"/>
              <w:adjustRightInd w:val="0"/>
              <w:jc w:val="both"/>
              <w:rPr>
                <w:rFonts w:ascii="Calibri" w:hAnsi="Calibri" w:cs="Calibri"/>
                <w:sz w:val="28"/>
                <w:szCs w:val="28"/>
              </w:rPr>
            </w:pPr>
            <w:r w:rsidRPr="00171BB9">
              <w:rPr>
                <w:rFonts w:ascii="Helvetica" w:hAnsi="Helvetica" w:cs="Helvetica"/>
                <w:sz w:val="28"/>
                <w:szCs w:val="28"/>
              </w:rPr>
              <w:t>While the markets have long looked to infrastructure expansions to leverage the Northeast region's untapped growth potential, producers backing those expansions have more modest growth outlooks than in the past.</w:t>
            </w:r>
          </w:p>
        </w:tc>
        <w:tc>
          <w:tcPr>
            <w:tcW w:w="536" w:type="dxa"/>
            <w:tcMar>
              <w:top w:w="20" w:type="nil"/>
              <w:left w:w="500" w:type="nil"/>
              <w:bottom w:w="200" w:type="nil"/>
              <w:right w:w="20" w:type="nil"/>
            </w:tcMar>
          </w:tcPr>
          <w:p w14:paraId="4AAA07CD" w14:textId="14F0D255" w:rsidR="00171BB9" w:rsidRPr="00171BB9" w:rsidRDefault="00171BB9">
            <w:pPr>
              <w:widowControl w:val="0"/>
              <w:autoSpaceDE w:val="0"/>
              <w:autoSpaceDN w:val="0"/>
              <w:adjustRightInd w:val="0"/>
              <w:rPr>
                <w:rFonts w:ascii="Calibri" w:hAnsi="Calibri" w:cs="Calibri"/>
                <w:sz w:val="28"/>
                <w:szCs w:val="28"/>
              </w:rPr>
            </w:pPr>
            <w:r w:rsidRPr="00171BB9">
              <w:rPr>
                <w:rFonts w:ascii="Helvetica" w:hAnsi="Helvetica" w:cs="Helvetica"/>
                <w:noProof/>
                <w:sz w:val="28"/>
                <w:szCs w:val="28"/>
              </w:rPr>
              <w:drawing>
                <wp:inline distT="0" distB="0" distL="0" distR="0" wp14:anchorId="29102549" wp14:editId="5E91A842">
                  <wp:extent cx="203200" cy="20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171BB9" w:rsidRPr="00171BB9" w14:paraId="5474C3E0" w14:textId="77777777" w:rsidTr="00171BB9">
        <w:tblPrEx>
          <w:tblBorders>
            <w:top w:val="none" w:sz="0" w:space="0" w:color="auto"/>
          </w:tblBorders>
          <w:tblCellMar>
            <w:top w:w="0" w:type="dxa"/>
            <w:bottom w:w="0" w:type="dxa"/>
          </w:tblCellMar>
        </w:tblPrEx>
        <w:tc>
          <w:tcPr>
            <w:tcW w:w="17000" w:type="dxa"/>
            <w:tcMar>
              <w:top w:w="20" w:type="nil"/>
              <w:left w:w="500" w:type="nil"/>
              <w:bottom w:w="200" w:type="nil"/>
              <w:right w:w="20" w:type="nil"/>
            </w:tcMar>
          </w:tcPr>
          <w:p w14:paraId="4FD0886B" w14:textId="77777777" w:rsidR="00171BB9" w:rsidRPr="00171BB9" w:rsidRDefault="00171BB9">
            <w:pPr>
              <w:widowControl w:val="0"/>
              <w:autoSpaceDE w:val="0"/>
              <w:autoSpaceDN w:val="0"/>
              <w:adjustRightInd w:val="0"/>
              <w:jc w:val="both"/>
              <w:rPr>
                <w:rFonts w:ascii="Calibri" w:hAnsi="Calibri" w:cs="Calibri"/>
                <w:sz w:val="28"/>
                <w:szCs w:val="28"/>
              </w:rPr>
            </w:pPr>
            <w:r w:rsidRPr="00171BB9">
              <w:rPr>
                <w:rFonts w:ascii="Helvetica" w:hAnsi="Helvetica" w:cs="Helvetica"/>
                <w:sz w:val="28"/>
                <w:szCs w:val="28"/>
              </w:rPr>
              <w:t xml:space="preserve">Historically, expansions entering service were met by a quick rise in production to fill that incremental capacity. Examples of this include past east-to-west growth projects on Rockies Express Pipeline and backhaul expansion projects on </w:t>
            </w:r>
            <w:r w:rsidRPr="00171BB9">
              <w:rPr>
                <w:rFonts w:ascii="Helvetica" w:hAnsi="Helvetica" w:cs="Helvetica"/>
                <w:b/>
                <w:bCs/>
                <w:color w:val="438BCC"/>
                <w:sz w:val="28"/>
                <w:szCs w:val="28"/>
              </w:rPr>
              <w:t xml:space="preserve">Texas </w:t>
            </w:r>
            <w:r w:rsidRPr="00171BB9">
              <w:rPr>
                <w:rFonts w:ascii="Helvetica" w:hAnsi="Helvetica" w:cs="Helvetica"/>
                <w:sz w:val="28"/>
                <w:szCs w:val="28"/>
              </w:rPr>
              <w:t xml:space="preserve">Eastern Transmission and </w:t>
            </w:r>
            <w:r w:rsidRPr="00171BB9">
              <w:rPr>
                <w:rFonts w:ascii="Helvetica" w:hAnsi="Helvetica" w:cs="Helvetica"/>
                <w:b/>
                <w:bCs/>
                <w:color w:val="438BCC"/>
                <w:sz w:val="28"/>
                <w:szCs w:val="28"/>
              </w:rPr>
              <w:t xml:space="preserve">Tennessee Gas </w:t>
            </w:r>
            <w:r w:rsidRPr="00171BB9">
              <w:rPr>
                <w:rFonts w:ascii="Helvetica" w:hAnsi="Helvetica" w:cs="Helvetica"/>
                <w:sz w:val="28"/>
                <w:szCs w:val="28"/>
              </w:rPr>
              <w:t>Pipeline.</w:t>
            </w:r>
          </w:p>
        </w:tc>
        <w:tc>
          <w:tcPr>
            <w:tcW w:w="536" w:type="dxa"/>
            <w:tcMar>
              <w:top w:w="20" w:type="nil"/>
              <w:left w:w="500" w:type="nil"/>
              <w:bottom w:w="200" w:type="nil"/>
              <w:right w:w="20" w:type="nil"/>
            </w:tcMar>
          </w:tcPr>
          <w:p w14:paraId="0E0E44DE" w14:textId="7C49BA41" w:rsidR="00171BB9" w:rsidRPr="00171BB9" w:rsidRDefault="00171BB9">
            <w:pPr>
              <w:widowControl w:val="0"/>
              <w:autoSpaceDE w:val="0"/>
              <w:autoSpaceDN w:val="0"/>
              <w:adjustRightInd w:val="0"/>
              <w:rPr>
                <w:rFonts w:ascii="Calibri" w:hAnsi="Calibri" w:cs="Calibri"/>
                <w:sz w:val="28"/>
                <w:szCs w:val="28"/>
              </w:rPr>
            </w:pPr>
            <w:r w:rsidRPr="00171BB9">
              <w:rPr>
                <w:rFonts w:ascii="Helvetica" w:hAnsi="Helvetica" w:cs="Helvetica"/>
                <w:noProof/>
                <w:sz w:val="28"/>
                <w:szCs w:val="28"/>
              </w:rPr>
              <w:drawing>
                <wp:inline distT="0" distB="0" distL="0" distR="0" wp14:anchorId="6B732793" wp14:editId="6D65FA8C">
                  <wp:extent cx="203200" cy="20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171BB9" w:rsidRPr="00171BB9" w14:paraId="16CCE881" w14:textId="77777777" w:rsidTr="00171BB9">
        <w:tblPrEx>
          <w:tblBorders>
            <w:top w:val="none" w:sz="0" w:space="0" w:color="auto"/>
          </w:tblBorders>
          <w:tblCellMar>
            <w:top w:w="0" w:type="dxa"/>
            <w:bottom w:w="0" w:type="dxa"/>
          </w:tblCellMar>
        </w:tblPrEx>
        <w:tc>
          <w:tcPr>
            <w:tcW w:w="17000" w:type="dxa"/>
            <w:tcMar>
              <w:top w:w="20" w:type="nil"/>
              <w:left w:w="500" w:type="nil"/>
              <w:bottom w:w="200" w:type="nil"/>
              <w:right w:w="20" w:type="nil"/>
            </w:tcMar>
          </w:tcPr>
          <w:p w14:paraId="1E8B504E" w14:textId="77777777" w:rsidR="00171BB9" w:rsidRPr="00171BB9" w:rsidRDefault="00171BB9">
            <w:pPr>
              <w:widowControl w:val="0"/>
              <w:autoSpaceDE w:val="0"/>
              <w:autoSpaceDN w:val="0"/>
              <w:adjustRightInd w:val="0"/>
              <w:jc w:val="both"/>
              <w:rPr>
                <w:rFonts w:ascii="Calibri" w:hAnsi="Calibri" w:cs="Calibri"/>
                <w:sz w:val="28"/>
                <w:szCs w:val="28"/>
              </w:rPr>
            </w:pPr>
            <w:r w:rsidRPr="00171BB9">
              <w:rPr>
                <w:rFonts w:ascii="Helvetica" w:hAnsi="Helvetica" w:cs="Helvetica"/>
                <w:sz w:val="28"/>
                <w:szCs w:val="28"/>
              </w:rPr>
              <w:t xml:space="preserve">This time around, however, producers are growing more within their means. Producers such as Range Resources and Antero Resources, which are subscribed to forthcoming expansion projects such as Energy Transfer Partners' 3.25-Bcf/d Rover Pipeline project and the 1.5-Bcf/d Leach </w:t>
            </w:r>
            <w:proofErr w:type="spellStart"/>
            <w:r w:rsidRPr="00171BB9">
              <w:rPr>
                <w:rFonts w:ascii="Helvetica" w:hAnsi="Helvetica" w:cs="Helvetica"/>
                <w:sz w:val="28"/>
                <w:szCs w:val="28"/>
              </w:rPr>
              <w:t>XPress</w:t>
            </w:r>
            <w:proofErr w:type="spellEnd"/>
            <w:r w:rsidRPr="00171BB9">
              <w:rPr>
                <w:rFonts w:ascii="Helvetica" w:hAnsi="Helvetica" w:cs="Helvetica"/>
                <w:sz w:val="28"/>
                <w:szCs w:val="28"/>
              </w:rPr>
              <w:t xml:space="preserve"> project on Columbia </w:t>
            </w:r>
            <w:r w:rsidRPr="00171BB9">
              <w:rPr>
                <w:rFonts w:ascii="Helvetica" w:hAnsi="Helvetica" w:cs="Helvetica"/>
                <w:b/>
                <w:bCs/>
                <w:color w:val="438BCC"/>
                <w:sz w:val="28"/>
                <w:szCs w:val="28"/>
              </w:rPr>
              <w:t xml:space="preserve">Gas </w:t>
            </w:r>
            <w:r w:rsidRPr="00171BB9">
              <w:rPr>
                <w:rFonts w:ascii="Helvetica" w:hAnsi="Helvetica" w:cs="Helvetica"/>
                <w:sz w:val="28"/>
                <w:szCs w:val="28"/>
              </w:rPr>
              <w:t>Transmission, are currently producing near their full-year 2017 guidance targets, indicating there may not be much upside to production in the near term. Rather, the production takeaway expansions are expected to support the companies' multi-year growth plans.</w:t>
            </w:r>
          </w:p>
        </w:tc>
        <w:tc>
          <w:tcPr>
            <w:tcW w:w="536" w:type="dxa"/>
            <w:tcMar>
              <w:top w:w="20" w:type="nil"/>
              <w:left w:w="500" w:type="nil"/>
              <w:bottom w:w="200" w:type="nil"/>
              <w:right w:w="20" w:type="nil"/>
            </w:tcMar>
          </w:tcPr>
          <w:p w14:paraId="61947156" w14:textId="3C2E7143" w:rsidR="00171BB9" w:rsidRPr="00171BB9" w:rsidRDefault="00171BB9">
            <w:pPr>
              <w:widowControl w:val="0"/>
              <w:autoSpaceDE w:val="0"/>
              <w:autoSpaceDN w:val="0"/>
              <w:adjustRightInd w:val="0"/>
              <w:rPr>
                <w:rFonts w:ascii="Calibri" w:hAnsi="Calibri" w:cs="Calibri"/>
                <w:sz w:val="28"/>
                <w:szCs w:val="28"/>
              </w:rPr>
            </w:pPr>
            <w:r w:rsidRPr="00171BB9">
              <w:rPr>
                <w:rFonts w:ascii="Helvetica" w:hAnsi="Helvetica" w:cs="Helvetica"/>
                <w:noProof/>
                <w:sz w:val="28"/>
                <w:szCs w:val="28"/>
              </w:rPr>
              <w:drawing>
                <wp:inline distT="0" distB="0" distL="0" distR="0" wp14:anchorId="3BC22C3D" wp14:editId="0E3FAF22">
                  <wp:extent cx="203200" cy="20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171BB9" w:rsidRPr="00171BB9" w14:paraId="0C63C856" w14:textId="77777777" w:rsidTr="00171BB9">
        <w:tblPrEx>
          <w:tblBorders>
            <w:top w:val="none" w:sz="0" w:space="0" w:color="auto"/>
          </w:tblBorders>
          <w:tblCellMar>
            <w:top w:w="0" w:type="dxa"/>
            <w:bottom w:w="0" w:type="dxa"/>
          </w:tblCellMar>
        </w:tblPrEx>
        <w:tc>
          <w:tcPr>
            <w:tcW w:w="17000" w:type="dxa"/>
            <w:tcMar>
              <w:top w:w="20" w:type="nil"/>
              <w:left w:w="500" w:type="nil"/>
              <w:bottom w:w="200" w:type="nil"/>
              <w:right w:w="20" w:type="nil"/>
            </w:tcMar>
          </w:tcPr>
          <w:p w14:paraId="4E0064CB" w14:textId="77777777" w:rsidR="00171BB9" w:rsidRPr="00171BB9" w:rsidRDefault="00171BB9">
            <w:pPr>
              <w:widowControl w:val="0"/>
              <w:autoSpaceDE w:val="0"/>
              <w:autoSpaceDN w:val="0"/>
              <w:adjustRightInd w:val="0"/>
              <w:jc w:val="both"/>
              <w:rPr>
                <w:rFonts w:ascii="Calibri" w:hAnsi="Calibri" w:cs="Calibri"/>
                <w:sz w:val="28"/>
                <w:szCs w:val="28"/>
              </w:rPr>
            </w:pPr>
            <w:r w:rsidRPr="00171BB9">
              <w:rPr>
                <w:rFonts w:ascii="Helvetica" w:hAnsi="Helvetica" w:cs="Helvetica"/>
                <w:sz w:val="28"/>
                <w:szCs w:val="28"/>
              </w:rPr>
              <w:lastRenderedPageBreak/>
              <w:t xml:space="preserve">The most pronounced effects of the expansions when they do enter service will be to effectively raise </w:t>
            </w:r>
            <w:r w:rsidRPr="00171BB9">
              <w:rPr>
                <w:rFonts w:ascii="Helvetica" w:hAnsi="Helvetica" w:cs="Helvetica"/>
                <w:b/>
                <w:bCs/>
                <w:color w:val="438BCC"/>
                <w:sz w:val="28"/>
                <w:szCs w:val="28"/>
              </w:rPr>
              <w:t xml:space="preserve">gas </w:t>
            </w:r>
            <w:r w:rsidRPr="00171BB9">
              <w:rPr>
                <w:rFonts w:ascii="Helvetica" w:hAnsi="Helvetica" w:cs="Helvetica"/>
                <w:sz w:val="28"/>
                <w:szCs w:val="28"/>
              </w:rPr>
              <w:t>prices in the region.</w:t>
            </w:r>
          </w:p>
        </w:tc>
        <w:tc>
          <w:tcPr>
            <w:tcW w:w="536" w:type="dxa"/>
            <w:tcMar>
              <w:top w:w="20" w:type="nil"/>
              <w:left w:w="500" w:type="nil"/>
              <w:bottom w:w="200" w:type="nil"/>
              <w:right w:w="20" w:type="nil"/>
            </w:tcMar>
          </w:tcPr>
          <w:p w14:paraId="0027A7FA" w14:textId="3F348DE7" w:rsidR="00171BB9" w:rsidRPr="00171BB9" w:rsidRDefault="00171BB9">
            <w:pPr>
              <w:widowControl w:val="0"/>
              <w:autoSpaceDE w:val="0"/>
              <w:autoSpaceDN w:val="0"/>
              <w:adjustRightInd w:val="0"/>
              <w:rPr>
                <w:rFonts w:ascii="Calibri" w:hAnsi="Calibri" w:cs="Calibri"/>
                <w:sz w:val="28"/>
                <w:szCs w:val="28"/>
              </w:rPr>
            </w:pPr>
            <w:r w:rsidRPr="00171BB9">
              <w:rPr>
                <w:rFonts w:ascii="Helvetica" w:hAnsi="Helvetica" w:cs="Helvetica"/>
                <w:noProof/>
                <w:sz w:val="28"/>
                <w:szCs w:val="28"/>
              </w:rPr>
              <w:drawing>
                <wp:inline distT="0" distB="0" distL="0" distR="0" wp14:anchorId="2327E120" wp14:editId="7734C9F4">
                  <wp:extent cx="203200" cy="20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171BB9" w:rsidRPr="00171BB9" w14:paraId="37FD1E50" w14:textId="77777777" w:rsidTr="00171BB9">
        <w:tblPrEx>
          <w:tblBorders>
            <w:top w:val="none" w:sz="0" w:space="0" w:color="auto"/>
          </w:tblBorders>
          <w:tblCellMar>
            <w:top w:w="0" w:type="dxa"/>
            <w:bottom w:w="0" w:type="dxa"/>
          </w:tblCellMar>
        </w:tblPrEx>
        <w:tc>
          <w:tcPr>
            <w:tcW w:w="17000" w:type="dxa"/>
            <w:tcMar>
              <w:top w:w="20" w:type="nil"/>
              <w:left w:w="500" w:type="nil"/>
              <w:bottom w:w="200" w:type="nil"/>
              <w:right w:w="20" w:type="nil"/>
            </w:tcMar>
          </w:tcPr>
          <w:p w14:paraId="6B094CA7" w14:textId="77777777" w:rsidR="00171BB9" w:rsidRPr="00171BB9" w:rsidRDefault="00171BB9">
            <w:pPr>
              <w:widowControl w:val="0"/>
              <w:autoSpaceDE w:val="0"/>
              <w:autoSpaceDN w:val="0"/>
              <w:adjustRightInd w:val="0"/>
              <w:jc w:val="both"/>
              <w:rPr>
                <w:rFonts w:ascii="Times New Roman" w:hAnsi="Times New Roman" w:cs="Times New Roman"/>
                <w:b/>
                <w:bCs/>
                <w:sz w:val="28"/>
                <w:szCs w:val="28"/>
              </w:rPr>
            </w:pPr>
            <w:r w:rsidRPr="00171BB9">
              <w:rPr>
                <w:rFonts w:ascii="Helvetica" w:hAnsi="Helvetica" w:cs="Helvetica"/>
                <w:b/>
                <w:bCs/>
                <w:sz w:val="28"/>
                <w:szCs w:val="28"/>
              </w:rPr>
              <w:t>Hub pricing sees impact</w:t>
            </w:r>
          </w:p>
        </w:tc>
        <w:tc>
          <w:tcPr>
            <w:tcW w:w="536" w:type="dxa"/>
            <w:tcMar>
              <w:top w:w="20" w:type="nil"/>
              <w:left w:w="500" w:type="nil"/>
              <w:bottom w:w="200" w:type="nil"/>
              <w:right w:w="20" w:type="nil"/>
            </w:tcMar>
          </w:tcPr>
          <w:p w14:paraId="5ECEA0D6" w14:textId="57657CA9" w:rsidR="00171BB9" w:rsidRPr="00171BB9" w:rsidRDefault="00171BB9">
            <w:pPr>
              <w:widowControl w:val="0"/>
              <w:autoSpaceDE w:val="0"/>
              <w:autoSpaceDN w:val="0"/>
              <w:adjustRightInd w:val="0"/>
              <w:rPr>
                <w:rFonts w:ascii="Calibri" w:hAnsi="Calibri" w:cs="Calibri"/>
                <w:sz w:val="28"/>
                <w:szCs w:val="28"/>
              </w:rPr>
            </w:pPr>
            <w:r w:rsidRPr="00171BB9">
              <w:rPr>
                <w:rFonts w:ascii="Helvetica" w:hAnsi="Helvetica" w:cs="Helvetica"/>
                <w:noProof/>
                <w:sz w:val="28"/>
                <w:szCs w:val="28"/>
              </w:rPr>
              <w:drawing>
                <wp:inline distT="0" distB="0" distL="0" distR="0" wp14:anchorId="4BF44E9C" wp14:editId="380949EB">
                  <wp:extent cx="203200" cy="20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171BB9" w:rsidRPr="00171BB9" w14:paraId="5F803033" w14:textId="77777777" w:rsidTr="00171BB9">
        <w:tblPrEx>
          <w:tblBorders>
            <w:top w:val="none" w:sz="0" w:space="0" w:color="auto"/>
          </w:tblBorders>
          <w:tblCellMar>
            <w:top w:w="0" w:type="dxa"/>
            <w:bottom w:w="0" w:type="dxa"/>
          </w:tblCellMar>
        </w:tblPrEx>
        <w:tc>
          <w:tcPr>
            <w:tcW w:w="17000" w:type="dxa"/>
            <w:tcMar>
              <w:top w:w="20" w:type="nil"/>
              <w:left w:w="500" w:type="nil"/>
              <w:bottom w:w="200" w:type="nil"/>
              <w:right w:w="20" w:type="nil"/>
            </w:tcMar>
          </w:tcPr>
          <w:p w14:paraId="0480C479" w14:textId="77777777" w:rsidR="00171BB9" w:rsidRPr="00171BB9" w:rsidRDefault="00171BB9">
            <w:pPr>
              <w:widowControl w:val="0"/>
              <w:autoSpaceDE w:val="0"/>
              <w:autoSpaceDN w:val="0"/>
              <w:adjustRightInd w:val="0"/>
              <w:jc w:val="both"/>
              <w:rPr>
                <w:rFonts w:ascii="Calibri" w:hAnsi="Calibri" w:cs="Calibri"/>
                <w:sz w:val="28"/>
                <w:szCs w:val="28"/>
              </w:rPr>
            </w:pPr>
            <w:r w:rsidRPr="00171BB9">
              <w:rPr>
                <w:rFonts w:ascii="Helvetica" w:hAnsi="Helvetica" w:cs="Helvetica"/>
                <w:sz w:val="28"/>
                <w:szCs w:val="28"/>
              </w:rPr>
              <w:t xml:space="preserve">Pricing at supply hubs such as </w:t>
            </w:r>
            <w:r w:rsidRPr="00171BB9">
              <w:rPr>
                <w:rFonts w:ascii="Helvetica" w:hAnsi="Helvetica" w:cs="Helvetica"/>
                <w:b/>
                <w:bCs/>
                <w:color w:val="438BCC"/>
                <w:sz w:val="28"/>
                <w:szCs w:val="28"/>
              </w:rPr>
              <w:t xml:space="preserve">Dominion South </w:t>
            </w:r>
            <w:r w:rsidRPr="00171BB9">
              <w:rPr>
                <w:rFonts w:ascii="Helvetica" w:hAnsi="Helvetica" w:cs="Helvetica"/>
                <w:sz w:val="28"/>
                <w:szCs w:val="28"/>
              </w:rPr>
              <w:t xml:space="preserve">has traded at a significant discount to benchmark </w:t>
            </w:r>
            <w:r w:rsidRPr="00171BB9">
              <w:rPr>
                <w:rFonts w:ascii="Helvetica" w:hAnsi="Helvetica" w:cs="Helvetica"/>
                <w:b/>
                <w:bCs/>
                <w:color w:val="438BCC"/>
                <w:sz w:val="28"/>
                <w:szCs w:val="28"/>
              </w:rPr>
              <w:t xml:space="preserve">Henry Hub </w:t>
            </w:r>
            <w:r w:rsidRPr="00171BB9">
              <w:rPr>
                <w:rFonts w:ascii="Helvetica" w:hAnsi="Helvetica" w:cs="Helvetica"/>
                <w:sz w:val="28"/>
                <w:szCs w:val="28"/>
              </w:rPr>
              <w:t xml:space="preserve">due to a substantial mismatch between supply and demand in the region. While demand can easily exceed 30 </w:t>
            </w:r>
            <w:proofErr w:type="spellStart"/>
            <w:r w:rsidRPr="00171BB9">
              <w:rPr>
                <w:rFonts w:ascii="Helvetica" w:hAnsi="Helvetica" w:cs="Helvetica"/>
                <w:sz w:val="28"/>
                <w:szCs w:val="28"/>
              </w:rPr>
              <w:t>Bcf</w:t>
            </w:r>
            <w:proofErr w:type="spellEnd"/>
            <w:r w:rsidRPr="00171BB9">
              <w:rPr>
                <w:rFonts w:ascii="Helvetica" w:hAnsi="Helvetica" w:cs="Helvetica"/>
                <w:sz w:val="28"/>
                <w:szCs w:val="28"/>
              </w:rPr>
              <w:t xml:space="preserve">/d in the region on cold winter days, for much of the year demand falls below the region's production, which has recently notched up to around 24 </w:t>
            </w:r>
            <w:proofErr w:type="spellStart"/>
            <w:r w:rsidRPr="00171BB9">
              <w:rPr>
                <w:rFonts w:ascii="Helvetica" w:hAnsi="Helvetica" w:cs="Helvetica"/>
                <w:sz w:val="28"/>
                <w:szCs w:val="28"/>
              </w:rPr>
              <w:t>Bcf</w:t>
            </w:r>
            <w:proofErr w:type="spellEnd"/>
            <w:r w:rsidRPr="00171BB9">
              <w:rPr>
                <w:rFonts w:ascii="Helvetica" w:hAnsi="Helvetica" w:cs="Helvetica"/>
                <w:sz w:val="28"/>
                <w:szCs w:val="28"/>
              </w:rPr>
              <w:t>/d.</w:t>
            </w:r>
          </w:p>
        </w:tc>
        <w:tc>
          <w:tcPr>
            <w:tcW w:w="536" w:type="dxa"/>
            <w:tcMar>
              <w:top w:w="20" w:type="nil"/>
              <w:left w:w="500" w:type="nil"/>
              <w:bottom w:w="200" w:type="nil"/>
              <w:right w:w="20" w:type="nil"/>
            </w:tcMar>
          </w:tcPr>
          <w:p w14:paraId="5AFE0E87" w14:textId="29C48F2C" w:rsidR="00171BB9" w:rsidRPr="00171BB9" w:rsidRDefault="00171BB9">
            <w:pPr>
              <w:widowControl w:val="0"/>
              <w:autoSpaceDE w:val="0"/>
              <w:autoSpaceDN w:val="0"/>
              <w:adjustRightInd w:val="0"/>
              <w:rPr>
                <w:rFonts w:ascii="Calibri" w:hAnsi="Calibri" w:cs="Calibri"/>
                <w:sz w:val="28"/>
                <w:szCs w:val="28"/>
              </w:rPr>
            </w:pPr>
            <w:r w:rsidRPr="00171BB9">
              <w:rPr>
                <w:rFonts w:ascii="Helvetica" w:hAnsi="Helvetica" w:cs="Helvetica"/>
                <w:noProof/>
                <w:sz w:val="28"/>
                <w:szCs w:val="28"/>
              </w:rPr>
              <w:drawing>
                <wp:inline distT="0" distB="0" distL="0" distR="0" wp14:anchorId="7678832C" wp14:editId="7B9BF9A1">
                  <wp:extent cx="203200" cy="20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171BB9" w:rsidRPr="00171BB9" w14:paraId="2F9EE069" w14:textId="77777777" w:rsidTr="00171BB9">
        <w:tblPrEx>
          <w:tblBorders>
            <w:top w:val="none" w:sz="0" w:space="0" w:color="auto"/>
          </w:tblBorders>
          <w:tblCellMar>
            <w:top w:w="0" w:type="dxa"/>
            <w:bottom w:w="0" w:type="dxa"/>
          </w:tblCellMar>
        </w:tblPrEx>
        <w:tc>
          <w:tcPr>
            <w:tcW w:w="17000" w:type="dxa"/>
            <w:tcMar>
              <w:top w:w="20" w:type="nil"/>
              <w:left w:w="500" w:type="nil"/>
              <w:bottom w:w="200" w:type="nil"/>
              <w:right w:w="20" w:type="nil"/>
            </w:tcMar>
          </w:tcPr>
          <w:p w14:paraId="53C60897" w14:textId="77777777" w:rsidR="00171BB9" w:rsidRPr="00171BB9" w:rsidRDefault="00171BB9">
            <w:pPr>
              <w:widowControl w:val="0"/>
              <w:autoSpaceDE w:val="0"/>
              <w:autoSpaceDN w:val="0"/>
              <w:adjustRightInd w:val="0"/>
              <w:jc w:val="both"/>
              <w:rPr>
                <w:rFonts w:ascii="Calibri" w:hAnsi="Calibri" w:cs="Calibri"/>
                <w:sz w:val="28"/>
                <w:szCs w:val="28"/>
              </w:rPr>
            </w:pPr>
            <w:r w:rsidRPr="00171BB9">
              <w:rPr>
                <w:rFonts w:ascii="Helvetica" w:hAnsi="Helvetica" w:cs="Helvetica"/>
                <w:sz w:val="28"/>
                <w:szCs w:val="28"/>
              </w:rPr>
              <w:t xml:space="preserve">As a result, pipelines receiving production such as Dominion and </w:t>
            </w:r>
            <w:r w:rsidRPr="00171BB9">
              <w:rPr>
                <w:rFonts w:ascii="Helvetica" w:hAnsi="Helvetica" w:cs="Helvetica"/>
                <w:b/>
                <w:bCs/>
                <w:color w:val="438BCC"/>
                <w:sz w:val="28"/>
                <w:szCs w:val="28"/>
              </w:rPr>
              <w:t xml:space="preserve">Texas </w:t>
            </w:r>
            <w:r w:rsidRPr="00171BB9">
              <w:rPr>
                <w:rFonts w:ascii="Helvetica" w:hAnsi="Helvetica" w:cs="Helvetica"/>
                <w:sz w:val="28"/>
                <w:szCs w:val="28"/>
              </w:rPr>
              <w:t xml:space="preserve">Eastern have seen significant capacity constraints, as existing infrastructure is flexed to accommodate the region's length and move it to downstream markets. The inability for </w:t>
            </w:r>
            <w:r w:rsidRPr="00171BB9">
              <w:rPr>
                <w:rFonts w:ascii="Helvetica" w:hAnsi="Helvetica" w:cs="Helvetica"/>
                <w:b/>
                <w:bCs/>
                <w:color w:val="438BCC"/>
                <w:sz w:val="28"/>
                <w:szCs w:val="28"/>
              </w:rPr>
              <w:t xml:space="preserve">gas </w:t>
            </w:r>
            <w:r w:rsidRPr="00171BB9">
              <w:rPr>
                <w:rFonts w:ascii="Helvetica" w:hAnsi="Helvetica" w:cs="Helvetica"/>
                <w:sz w:val="28"/>
                <w:szCs w:val="28"/>
              </w:rPr>
              <w:t xml:space="preserve">to move freely to where it's needed results in a discount on that </w:t>
            </w:r>
            <w:r w:rsidRPr="00171BB9">
              <w:rPr>
                <w:rFonts w:ascii="Helvetica" w:hAnsi="Helvetica" w:cs="Helvetica"/>
                <w:b/>
                <w:bCs/>
                <w:color w:val="438BCC"/>
                <w:sz w:val="28"/>
                <w:szCs w:val="28"/>
              </w:rPr>
              <w:t xml:space="preserve">gas </w:t>
            </w:r>
            <w:r w:rsidRPr="00171BB9">
              <w:rPr>
                <w:rFonts w:ascii="Helvetica" w:hAnsi="Helvetica" w:cs="Helvetica"/>
                <w:sz w:val="28"/>
                <w:szCs w:val="28"/>
              </w:rPr>
              <w:t>' value.</w:t>
            </w:r>
          </w:p>
        </w:tc>
        <w:tc>
          <w:tcPr>
            <w:tcW w:w="536" w:type="dxa"/>
            <w:tcMar>
              <w:top w:w="20" w:type="nil"/>
              <w:left w:w="500" w:type="nil"/>
              <w:bottom w:w="200" w:type="nil"/>
              <w:right w:w="20" w:type="nil"/>
            </w:tcMar>
          </w:tcPr>
          <w:p w14:paraId="6F44708E" w14:textId="1ECBF94A" w:rsidR="00171BB9" w:rsidRPr="00171BB9" w:rsidRDefault="00171BB9">
            <w:pPr>
              <w:widowControl w:val="0"/>
              <w:autoSpaceDE w:val="0"/>
              <w:autoSpaceDN w:val="0"/>
              <w:adjustRightInd w:val="0"/>
              <w:rPr>
                <w:rFonts w:ascii="Calibri" w:hAnsi="Calibri" w:cs="Calibri"/>
                <w:sz w:val="28"/>
                <w:szCs w:val="28"/>
              </w:rPr>
            </w:pPr>
            <w:r w:rsidRPr="00171BB9">
              <w:rPr>
                <w:rFonts w:ascii="Helvetica" w:hAnsi="Helvetica" w:cs="Helvetica"/>
                <w:noProof/>
                <w:sz w:val="28"/>
                <w:szCs w:val="28"/>
              </w:rPr>
              <w:drawing>
                <wp:inline distT="0" distB="0" distL="0" distR="0" wp14:anchorId="084D1A49" wp14:editId="53091734">
                  <wp:extent cx="203200" cy="20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171BB9" w:rsidRPr="00171BB9" w14:paraId="12A08D53" w14:textId="77777777" w:rsidTr="00171BB9">
        <w:tblPrEx>
          <w:tblBorders>
            <w:top w:val="none" w:sz="0" w:space="0" w:color="auto"/>
          </w:tblBorders>
          <w:tblCellMar>
            <w:top w:w="0" w:type="dxa"/>
            <w:bottom w:w="0" w:type="dxa"/>
          </w:tblCellMar>
        </w:tblPrEx>
        <w:tc>
          <w:tcPr>
            <w:tcW w:w="17000" w:type="dxa"/>
            <w:tcMar>
              <w:top w:w="20" w:type="nil"/>
              <w:left w:w="500" w:type="nil"/>
              <w:bottom w:w="200" w:type="nil"/>
              <w:right w:w="20" w:type="nil"/>
            </w:tcMar>
          </w:tcPr>
          <w:p w14:paraId="7D13FA7A" w14:textId="77777777" w:rsidR="00171BB9" w:rsidRPr="00171BB9" w:rsidRDefault="00171BB9">
            <w:pPr>
              <w:widowControl w:val="0"/>
              <w:autoSpaceDE w:val="0"/>
              <w:autoSpaceDN w:val="0"/>
              <w:adjustRightInd w:val="0"/>
              <w:jc w:val="both"/>
              <w:rPr>
                <w:rFonts w:ascii="Calibri" w:hAnsi="Calibri" w:cs="Calibri"/>
                <w:sz w:val="28"/>
                <w:szCs w:val="28"/>
              </w:rPr>
            </w:pPr>
            <w:r w:rsidRPr="00171BB9">
              <w:rPr>
                <w:rFonts w:ascii="Helvetica" w:hAnsi="Helvetica" w:cs="Helvetica"/>
                <w:sz w:val="28"/>
                <w:szCs w:val="28"/>
              </w:rPr>
              <w:t xml:space="preserve">The in-service of projects like Rover and Leach </w:t>
            </w:r>
            <w:proofErr w:type="spellStart"/>
            <w:r w:rsidRPr="00171BB9">
              <w:rPr>
                <w:rFonts w:ascii="Helvetica" w:hAnsi="Helvetica" w:cs="Helvetica"/>
                <w:sz w:val="28"/>
                <w:szCs w:val="28"/>
              </w:rPr>
              <w:t>XPress</w:t>
            </w:r>
            <w:proofErr w:type="spellEnd"/>
            <w:r w:rsidRPr="00171BB9">
              <w:rPr>
                <w:rFonts w:ascii="Helvetica" w:hAnsi="Helvetica" w:cs="Helvetica"/>
                <w:sz w:val="28"/>
                <w:szCs w:val="28"/>
              </w:rPr>
              <w:t xml:space="preserve"> will add significant capacity to the region, which is expected to alleviate infrastructure constraints, putting a higher value on upstream </w:t>
            </w:r>
            <w:r w:rsidRPr="00171BB9">
              <w:rPr>
                <w:rFonts w:ascii="Helvetica" w:hAnsi="Helvetica" w:cs="Helvetica"/>
                <w:b/>
                <w:bCs/>
                <w:color w:val="438BCC"/>
                <w:sz w:val="28"/>
                <w:szCs w:val="28"/>
              </w:rPr>
              <w:t xml:space="preserve">gas </w:t>
            </w:r>
            <w:r w:rsidRPr="00171BB9">
              <w:rPr>
                <w:rFonts w:ascii="Helvetica" w:hAnsi="Helvetica" w:cs="Helvetica"/>
                <w:sz w:val="28"/>
                <w:szCs w:val="28"/>
              </w:rPr>
              <w:t>as it can more viably flow to the downstream markets that value it highest.</w:t>
            </w:r>
          </w:p>
        </w:tc>
        <w:tc>
          <w:tcPr>
            <w:tcW w:w="536" w:type="dxa"/>
            <w:tcMar>
              <w:top w:w="20" w:type="nil"/>
              <w:left w:w="500" w:type="nil"/>
              <w:bottom w:w="200" w:type="nil"/>
              <w:right w:w="20" w:type="nil"/>
            </w:tcMar>
          </w:tcPr>
          <w:p w14:paraId="027D0E77" w14:textId="1FDCC86E" w:rsidR="00171BB9" w:rsidRPr="00171BB9" w:rsidRDefault="00171BB9">
            <w:pPr>
              <w:widowControl w:val="0"/>
              <w:autoSpaceDE w:val="0"/>
              <w:autoSpaceDN w:val="0"/>
              <w:adjustRightInd w:val="0"/>
              <w:rPr>
                <w:rFonts w:ascii="Calibri" w:hAnsi="Calibri" w:cs="Calibri"/>
                <w:sz w:val="28"/>
                <w:szCs w:val="28"/>
              </w:rPr>
            </w:pPr>
            <w:r w:rsidRPr="00171BB9">
              <w:rPr>
                <w:rFonts w:ascii="Helvetica" w:hAnsi="Helvetica" w:cs="Helvetica"/>
                <w:noProof/>
                <w:sz w:val="28"/>
                <w:szCs w:val="28"/>
              </w:rPr>
              <w:drawing>
                <wp:inline distT="0" distB="0" distL="0" distR="0" wp14:anchorId="10F61A32" wp14:editId="5BBA946C">
                  <wp:extent cx="203200" cy="20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171BB9" w:rsidRPr="00171BB9" w14:paraId="00C68665" w14:textId="77777777" w:rsidTr="00171BB9">
        <w:tblPrEx>
          <w:tblBorders>
            <w:top w:val="none" w:sz="0" w:space="0" w:color="auto"/>
          </w:tblBorders>
          <w:tblCellMar>
            <w:top w:w="0" w:type="dxa"/>
            <w:bottom w:w="0" w:type="dxa"/>
          </w:tblCellMar>
        </w:tblPrEx>
        <w:tc>
          <w:tcPr>
            <w:tcW w:w="17000" w:type="dxa"/>
            <w:tcMar>
              <w:top w:w="20" w:type="nil"/>
              <w:left w:w="500" w:type="nil"/>
              <w:bottom w:w="200" w:type="nil"/>
              <w:right w:w="20" w:type="nil"/>
            </w:tcMar>
          </w:tcPr>
          <w:p w14:paraId="345A756F" w14:textId="77777777" w:rsidR="00171BB9" w:rsidRPr="00171BB9" w:rsidRDefault="00171BB9">
            <w:pPr>
              <w:widowControl w:val="0"/>
              <w:autoSpaceDE w:val="0"/>
              <w:autoSpaceDN w:val="0"/>
              <w:adjustRightInd w:val="0"/>
              <w:jc w:val="both"/>
              <w:rPr>
                <w:rFonts w:ascii="Times New Roman" w:hAnsi="Times New Roman" w:cs="Times New Roman"/>
                <w:b/>
                <w:bCs/>
                <w:sz w:val="28"/>
                <w:szCs w:val="28"/>
              </w:rPr>
            </w:pPr>
            <w:r w:rsidRPr="00171BB9">
              <w:rPr>
                <w:rFonts w:ascii="Helvetica" w:hAnsi="Helvetica" w:cs="Helvetica"/>
                <w:b/>
                <w:bCs/>
                <w:sz w:val="28"/>
                <w:szCs w:val="28"/>
              </w:rPr>
              <w:t xml:space="preserve">Power sector watching </w:t>
            </w:r>
            <w:r w:rsidRPr="00171BB9">
              <w:rPr>
                <w:rFonts w:ascii="Helvetica" w:hAnsi="Helvetica" w:cs="Helvetica"/>
                <w:b/>
                <w:bCs/>
                <w:color w:val="438BCC"/>
                <w:sz w:val="28"/>
                <w:szCs w:val="28"/>
              </w:rPr>
              <w:t xml:space="preserve">gas </w:t>
            </w:r>
            <w:r w:rsidRPr="00171BB9">
              <w:rPr>
                <w:rFonts w:ascii="Helvetica" w:hAnsi="Helvetica" w:cs="Helvetica"/>
                <w:b/>
                <w:bCs/>
                <w:sz w:val="28"/>
                <w:szCs w:val="28"/>
              </w:rPr>
              <w:t>dynamics</w:t>
            </w:r>
          </w:p>
        </w:tc>
        <w:tc>
          <w:tcPr>
            <w:tcW w:w="536" w:type="dxa"/>
            <w:tcMar>
              <w:top w:w="20" w:type="nil"/>
              <w:left w:w="500" w:type="nil"/>
              <w:bottom w:w="200" w:type="nil"/>
              <w:right w:w="20" w:type="nil"/>
            </w:tcMar>
          </w:tcPr>
          <w:p w14:paraId="0D57EA5C" w14:textId="668C2D6A" w:rsidR="00171BB9" w:rsidRPr="00171BB9" w:rsidRDefault="00171BB9">
            <w:pPr>
              <w:widowControl w:val="0"/>
              <w:autoSpaceDE w:val="0"/>
              <w:autoSpaceDN w:val="0"/>
              <w:adjustRightInd w:val="0"/>
              <w:rPr>
                <w:rFonts w:ascii="Calibri" w:hAnsi="Calibri" w:cs="Calibri"/>
                <w:sz w:val="28"/>
                <w:szCs w:val="28"/>
              </w:rPr>
            </w:pPr>
            <w:r w:rsidRPr="00171BB9">
              <w:rPr>
                <w:rFonts w:ascii="Helvetica" w:hAnsi="Helvetica" w:cs="Helvetica"/>
                <w:noProof/>
                <w:sz w:val="28"/>
                <w:szCs w:val="28"/>
              </w:rPr>
              <w:drawing>
                <wp:inline distT="0" distB="0" distL="0" distR="0" wp14:anchorId="4C57A211" wp14:editId="60F9B471">
                  <wp:extent cx="203200" cy="20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171BB9" w:rsidRPr="00171BB9" w14:paraId="1692C5D6" w14:textId="77777777" w:rsidTr="00171BB9">
        <w:tblPrEx>
          <w:tblBorders>
            <w:top w:val="none" w:sz="0" w:space="0" w:color="auto"/>
          </w:tblBorders>
          <w:tblCellMar>
            <w:top w:w="0" w:type="dxa"/>
            <w:bottom w:w="0" w:type="dxa"/>
          </w:tblCellMar>
        </w:tblPrEx>
        <w:tc>
          <w:tcPr>
            <w:tcW w:w="17000" w:type="dxa"/>
            <w:tcMar>
              <w:top w:w="20" w:type="nil"/>
              <w:left w:w="500" w:type="nil"/>
              <w:bottom w:w="200" w:type="nil"/>
              <w:right w:w="20" w:type="nil"/>
            </w:tcMar>
          </w:tcPr>
          <w:p w14:paraId="5B1E824B" w14:textId="77777777" w:rsidR="00171BB9" w:rsidRPr="00171BB9" w:rsidRDefault="00171BB9">
            <w:pPr>
              <w:widowControl w:val="0"/>
              <w:autoSpaceDE w:val="0"/>
              <w:autoSpaceDN w:val="0"/>
              <w:adjustRightInd w:val="0"/>
              <w:jc w:val="both"/>
              <w:rPr>
                <w:rFonts w:ascii="Calibri" w:hAnsi="Calibri" w:cs="Calibri"/>
                <w:sz w:val="28"/>
                <w:szCs w:val="28"/>
              </w:rPr>
            </w:pPr>
            <w:r w:rsidRPr="00171BB9">
              <w:rPr>
                <w:rFonts w:ascii="Helvetica" w:hAnsi="Helvetica" w:cs="Helvetica"/>
                <w:sz w:val="28"/>
                <w:szCs w:val="28"/>
              </w:rPr>
              <w:t xml:space="preserve">The balance between Northeast </w:t>
            </w:r>
            <w:r w:rsidRPr="00171BB9">
              <w:rPr>
                <w:rFonts w:ascii="Helvetica" w:hAnsi="Helvetica" w:cs="Helvetica"/>
                <w:b/>
                <w:bCs/>
                <w:color w:val="438BCC"/>
                <w:sz w:val="28"/>
                <w:szCs w:val="28"/>
              </w:rPr>
              <w:t xml:space="preserve">gas </w:t>
            </w:r>
            <w:r w:rsidRPr="00171BB9">
              <w:rPr>
                <w:rFonts w:ascii="Helvetica" w:hAnsi="Helvetica" w:cs="Helvetica"/>
                <w:sz w:val="28"/>
                <w:szCs w:val="28"/>
              </w:rPr>
              <w:t xml:space="preserve">supply and demand is intertwined with the power sector, which counts </w:t>
            </w:r>
            <w:r w:rsidRPr="00171BB9">
              <w:rPr>
                <w:rFonts w:ascii="Helvetica" w:hAnsi="Helvetica" w:cs="Helvetica"/>
                <w:b/>
                <w:bCs/>
                <w:color w:val="438BCC"/>
                <w:sz w:val="28"/>
                <w:szCs w:val="28"/>
              </w:rPr>
              <w:t xml:space="preserve">gas </w:t>
            </w:r>
            <w:r w:rsidRPr="00171BB9">
              <w:rPr>
                <w:rFonts w:ascii="Helvetica" w:hAnsi="Helvetica" w:cs="Helvetica"/>
                <w:sz w:val="28"/>
                <w:szCs w:val="28"/>
              </w:rPr>
              <w:t>as a key plant fuel.</w:t>
            </w:r>
          </w:p>
        </w:tc>
        <w:tc>
          <w:tcPr>
            <w:tcW w:w="536" w:type="dxa"/>
            <w:tcMar>
              <w:top w:w="20" w:type="nil"/>
              <w:left w:w="500" w:type="nil"/>
              <w:bottom w:w="200" w:type="nil"/>
              <w:right w:w="20" w:type="nil"/>
            </w:tcMar>
          </w:tcPr>
          <w:p w14:paraId="3C795A87" w14:textId="0474D5D1" w:rsidR="00171BB9" w:rsidRPr="00171BB9" w:rsidRDefault="00171BB9">
            <w:pPr>
              <w:widowControl w:val="0"/>
              <w:autoSpaceDE w:val="0"/>
              <w:autoSpaceDN w:val="0"/>
              <w:adjustRightInd w:val="0"/>
              <w:rPr>
                <w:rFonts w:ascii="Calibri" w:hAnsi="Calibri" w:cs="Calibri"/>
                <w:sz w:val="28"/>
                <w:szCs w:val="28"/>
              </w:rPr>
            </w:pPr>
            <w:r w:rsidRPr="00171BB9">
              <w:rPr>
                <w:rFonts w:ascii="Helvetica" w:hAnsi="Helvetica" w:cs="Helvetica"/>
                <w:noProof/>
                <w:sz w:val="28"/>
                <w:szCs w:val="28"/>
              </w:rPr>
              <w:drawing>
                <wp:inline distT="0" distB="0" distL="0" distR="0" wp14:anchorId="58F13EF7" wp14:editId="3557CD89">
                  <wp:extent cx="203200" cy="20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171BB9" w:rsidRPr="00171BB9" w14:paraId="48854B2D" w14:textId="77777777" w:rsidTr="00171BB9">
        <w:tblPrEx>
          <w:tblBorders>
            <w:top w:val="none" w:sz="0" w:space="0" w:color="auto"/>
          </w:tblBorders>
          <w:tblCellMar>
            <w:top w:w="0" w:type="dxa"/>
            <w:bottom w:w="0" w:type="dxa"/>
          </w:tblCellMar>
        </w:tblPrEx>
        <w:tc>
          <w:tcPr>
            <w:tcW w:w="17000" w:type="dxa"/>
            <w:tcMar>
              <w:top w:w="20" w:type="nil"/>
              <w:left w:w="500" w:type="nil"/>
              <w:bottom w:w="200" w:type="nil"/>
              <w:right w:w="20" w:type="nil"/>
            </w:tcMar>
          </w:tcPr>
          <w:p w14:paraId="17BC5F96" w14:textId="77777777" w:rsidR="00171BB9" w:rsidRPr="00171BB9" w:rsidRDefault="00171BB9">
            <w:pPr>
              <w:widowControl w:val="0"/>
              <w:autoSpaceDE w:val="0"/>
              <w:autoSpaceDN w:val="0"/>
              <w:adjustRightInd w:val="0"/>
              <w:jc w:val="both"/>
              <w:rPr>
                <w:rFonts w:ascii="Calibri" w:hAnsi="Calibri" w:cs="Calibri"/>
                <w:sz w:val="28"/>
                <w:szCs w:val="28"/>
              </w:rPr>
            </w:pPr>
            <w:r w:rsidRPr="00171BB9">
              <w:rPr>
                <w:rFonts w:ascii="Helvetica" w:hAnsi="Helvetica" w:cs="Helvetica"/>
                <w:sz w:val="28"/>
                <w:szCs w:val="28"/>
              </w:rPr>
              <w:t xml:space="preserve">A report issued June 2 by S&amp;P </w:t>
            </w:r>
            <w:r w:rsidRPr="00171BB9">
              <w:rPr>
                <w:rFonts w:ascii="Helvetica" w:hAnsi="Helvetica" w:cs="Helvetica"/>
                <w:b/>
                <w:bCs/>
                <w:color w:val="438BCC"/>
                <w:sz w:val="28"/>
                <w:szCs w:val="28"/>
              </w:rPr>
              <w:t xml:space="preserve">Global </w:t>
            </w:r>
            <w:r w:rsidRPr="00171BB9">
              <w:rPr>
                <w:rFonts w:ascii="Helvetica" w:hAnsi="Helvetica" w:cs="Helvetica"/>
                <w:sz w:val="28"/>
                <w:szCs w:val="28"/>
              </w:rPr>
              <w:t xml:space="preserve">Ratings assessed whether regulatory changes, specifically the Trump administration's planned withdrawal from the </w:t>
            </w:r>
            <w:r w:rsidRPr="00171BB9">
              <w:rPr>
                <w:rFonts w:ascii="Helvetica" w:hAnsi="Helvetica" w:cs="Helvetica"/>
                <w:b/>
                <w:bCs/>
                <w:color w:val="438BCC"/>
                <w:sz w:val="28"/>
                <w:szCs w:val="28"/>
              </w:rPr>
              <w:t xml:space="preserve">Paris </w:t>
            </w:r>
            <w:r w:rsidRPr="00171BB9">
              <w:rPr>
                <w:rFonts w:ascii="Helvetica" w:hAnsi="Helvetica" w:cs="Helvetica"/>
                <w:sz w:val="28"/>
                <w:szCs w:val="28"/>
              </w:rPr>
              <w:t xml:space="preserve">climate pact, could impact the market trends of late. The report concluded that cheap </w:t>
            </w:r>
            <w:r w:rsidRPr="00171BB9">
              <w:rPr>
                <w:rFonts w:ascii="Helvetica" w:hAnsi="Helvetica" w:cs="Helvetica"/>
                <w:b/>
                <w:bCs/>
                <w:color w:val="438BCC"/>
                <w:sz w:val="28"/>
                <w:szCs w:val="28"/>
              </w:rPr>
              <w:t xml:space="preserve">gas </w:t>
            </w:r>
            <w:r w:rsidRPr="00171BB9">
              <w:rPr>
                <w:rFonts w:ascii="Helvetica" w:hAnsi="Helvetica" w:cs="Helvetica"/>
                <w:sz w:val="28"/>
                <w:szCs w:val="28"/>
              </w:rPr>
              <w:t xml:space="preserve">will keep flowing and there isn't expected to be any major shift in how the </w:t>
            </w:r>
            <w:r w:rsidRPr="00171BB9">
              <w:rPr>
                <w:rFonts w:ascii="Helvetica" w:hAnsi="Helvetica" w:cs="Helvetica"/>
                <w:b/>
                <w:bCs/>
                <w:color w:val="438BCC"/>
                <w:sz w:val="28"/>
                <w:szCs w:val="28"/>
              </w:rPr>
              <w:t xml:space="preserve">US </w:t>
            </w:r>
            <w:r w:rsidRPr="00171BB9">
              <w:rPr>
                <w:rFonts w:ascii="Helvetica" w:hAnsi="Helvetica" w:cs="Helvetica"/>
                <w:sz w:val="28"/>
                <w:szCs w:val="28"/>
              </w:rPr>
              <w:t xml:space="preserve">uses power. </w:t>
            </w:r>
            <w:r w:rsidRPr="00171BB9">
              <w:rPr>
                <w:rFonts w:ascii="Helvetica" w:hAnsi="Helvetica" w:cs="Helvetica"/>
                <w:b/>
                <w:bCs/>
                <w:color w:val="438BCC"/>
                <w:sz w:val="28"/>
                <w:szCs w:val="28"/>
              </w:rPr>
              <w:t xml:space="preserve">Gas </w:t>
            </w:r>
            <w:r w:rsidRPr="00171BB9">
              <w:rPr>
                <w:rFonts w:ascii="Helvetica" w:hAnsi="Helvetica" w:cs="Helvetica"/>
                <w:sz w:val="28"/>
                <w:szCs w:val="28"/>
              </w:rPr>
              <w:t xml:space="preserve">-fired generators have seen their fates driven by shifting economics in the </w:t>
            </w:r>
            <w:r w:rsidRPr="00171BB9">
              <w:rPr>
                <w:rFonts w:ascii="Helvetica" w:hAnsi="Helvetica" w:cs="Helvetica"/>
                <w:b/>
                <w:bCs/>
                <w:color w:val="438BCC"/>
                <w:sz w:val="28"/>
                <w:szCs w:val="28"/>
              </w:rPr>
              <w:t xml:space="preserve">US </w:t>
            </w:r>
            <w:r w:rsidRPr="00171BB9">
              <w:rPr>
                <w:rFonts w:ascii="Helvetica" w:hAnsi="Helvetica" w:cs="Helvetica"/>
                <w:sz w:val="28"/>
                <w:szCs w:val="28"/>
              </w:rPr>
              <w:t>rather than by regulation.</w:t>
            </w:r>
          </w:p>
        </w:tc>
        <w:tc>
          <w:tcPr>
            <w:tcW w:w="536" w:type="dxa"/>
            <w:tcMar>
              <w:top w:w="20" w:type="nil"/>
              <w:left w:w="500" w:type="nil"/>
              <w:bottom w:w="200" w:type="nil"/>
              <w:right w:w="20" w:type="nil"/>
            </w:tcMar>
          </w:tcPr>
          <w:p w14:paraId="30ABC3DA" w14:textId="3C0C45A6" w:rsidR="00171BB9" w:rsidRPr="00171BB9" w:rsidRDefault="00171BB9">
            <w:pPr>
              <w:widowControl w:val="0"/>
              <w:autoSpaceDE w:val="0"/>
              <w:autoSpaceDN w:val="0"/>
              <w:adjustRightInd w:val="0"/>
              <w:rPr>
                <w:rFonts w:ascii="Calibri" w:hAnsi="Calibri" w:cs="Calibri"/>
                <w:sz w:val="28"/>
                <w:szCs w:val="28"/>
              </w:rPr>
            </w:pPr>
            <w:r w:rsidRPr="00171BB9">
              <w:rPr>
                <w:rFonts w:ascii="Helvetica" w:hAnsi="Helvetica" w:cs="Helvetica"/>
                <w:noProof/>
                <w:sz w:val="28"/>
                <w:szCs w:val="28"/>
              </w:rPr>
              <w:drawing>
                <wp:inline distT="0" distB="0" distL="0" distR="0" wp14:anchorId="3A096CF0" wp14:editId="71008571">
                  <wp:extent cx="203200" cy="20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r>
      <w:tr w:rsidR="00171BB9" w:rsidRPr="00171BB9" w14:paraId="52079227" w14:textId="77777777" w:rsidTr="00171BB9">
        <w:tblPrEx>
          <w:tblCellMar>
            <w:top w:w="0" w:type="dxa"/>
            <w:bottom w:w="0" w:type="dxa"/>
          </w:tblCellMar>
        </w:tblPrEx>
        <w:tc>
          <w:tcPr>
            <w:tcW w:w="17536" w:type="dxa"/>
            <w:gridSpan w:val="2"/>
            <w:tcMar>
              <w:top w:w="20" w:type="nil"/>
              <w:left w:w="500" w:type="nil"/>
              <w:bottom w:w="200" w:type="nil"/>
              <w:right w:w="20" w:type="nil"/>
            </w:tcMar>
          </w:tcPr>
          <w:p w14:paraId="3CA1D40A" w14:textId="77777777" w:rsidR="00171BB9" w:rsidRPr="00171BB9" w:rsidRDefault="00171BB9">
            <w:pPr>
              <w:widowControl w:val="0"/>
              <w:autoSpaceDE w:val="0"/>
              <w:autoSpaceDN w:val="0"/>
              <w:adjustRightInd w:val="0"/>
              <w:jc w:val="both"/>
              <w:rPr>
                <w:rFonts w:ascii="Helvetica" w:hAnsi="Helvetica" w:cs="Helvetica"/>
                <w:sz w:val="28"/>
                <w:szCs w:val="28"/>
              </w:rPr>
            </w:pPr>
            <w:r w:rsidRPr="00171BB9">
              <w:rPr>
                <w:rFonts w:ascii="Helvetica" w:hAnsi="Helvetica" w:cs="Helvetica"/>
                <w:sz w:val="28"/>
                <w:szCs w:val="28"/>
              </w:rPr>
              <w:t xml:space="preserve">"There are opportunities for growth in the natural </w:t>
            </w:r>
            <w:r w:rsidRPr="00171BB9">
              <w:rPr>
                <w:rFonts w:ascii="Helvetica" w:hAnsi="Helvetica" w:cs="Helvetica"/>
                <w:b/>
                <w:bCs/>
                <w:color w:val="438BCC"/>
                <w:sz w:val="28"/>
                <w:szCs w:val="28"/>
              </w:rPr>
              <w:t xml:space="preserve">gas </w:t>
            </w:r>
            <w:r w:rsidRPr="00171BB9">
              <w:rPr>
                <w:rFonts w:ascii="Helvetica" w:hAnsi="Helvetica" w:cs="Helvetica"/>
                <w:sz w:val="28"/>
                <w:szCs w:val="28"/>
              </w:rPr>
              <w:t xml:space="preserve">industry, but also significant risks," Michael Sloan, a managing director at Fairfax, Virginia-based consulting firm ICF International who specializes in energy, said at the </w:t>
            </w:r>
            <w:r w:rsidRPr="00171BB9">
              <w:rPr>
                <w:rFonts w:ascii="Helvetica" w:hAnsi="Helvetica" w:cs="Helvetica"/>
                <w:b/>
                <w:bCs/>
                <w:color w:val="438BCC"/>
                <w:sz w:val="28"/>
                <w:szCs w:val="28"/>
              </w:rPr>
              <w:t xml:space="preserve">Boston </w:t>
            </w:r>
            <w:r w:rsidRPr="00171BB9">
              <w:rPr>
                <w:rFonts w:ascii="Helvetica" w:hAnsi="Helvetica" w:cs="Helvetica"/>
                <w:sz w:val="28"/>
                <w:szCs w:val="28"/>
              </w:rPr>
              <w:t>conference.</w:t>
            </w:r>
          </w:p>
        </w:tc>
      </w:tr>
    </w:tbl>
    <w:p w14:paraId="13FBB390" w14:textId="77777777" w:rsidR="00554AC0" w:rsidRPr="00171BB9" w:rsidRDefault="00554AC0">
      <w:pPr>
        <w:rPr>
          <w:sz w:val="28"/>
          <w:szCs w:val="28"/>
        </w:rPr>
      </w:pPr>
    </w:p>
    <w:sectPr w:rsidR="00554AC0" w:rsidRPr="00171BB9" w:rsidSect="008A7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3B9"/>
    <w:rsid w:val="00171BB9"/>
    <w:rsid w:val="001B669C"/>
    <w:rsid w:val="00554AC0"/>
    <w:rsid w:val="006D6BC0"/>
    <w:rsid w:val="008A79A7"/>
    <w:rsid w:val="009553D3"/>
    <w:rsid w:val="00A423B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0C8492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A423B9"/>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23B9"/>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286968">
      <w:bodyDiv w:val="1"/>
      <w:marLeft w:val="0"/>
      <w:marRight w:val="0"/>
      <w:marTop w:val="0"/>
      <w:marBottom w:val="0"/>
      <w:divBdr>
        <w:top w:val="none" w:sz="0" w:space="0" w:color="auto"/>
        <w:left w:val="none" w:sz="0" w:space="0" w:color="auto"/>
        <w:bottom w:val="none" w:sz="0" w:space="0" w:color="auto"/>
        <w:right w:val="none" w:sz="0" w:space="0" w:color="auto"/>
      </w:divBdr>
    </w:div>
    <w:div w:id="1144541254">
      <w:bodyDiv w:val="1"/>
      <w:marLeft w:val="0"/>
      <w:marRight w:val="0"/>
      <w:marTop w:val="0"/>
      <w:marBottom w:val="0"/>
      <w:divBdr>
        <w:top w:val="none" w:sz="0" w:space="0" w:color="auto"/>
        <w:left w:val="none" w:sz="0" w:space="0" w:color="auto"/>
        <w:bottom w:val="none" w:sz="0" w:space="0" w:color="auto"/>
        <w:right w:val="none" w:sz="0" w:space="0" w:color="auto"/>
      </w:divBdr>
    </w:div>
    <w:div w:id="1766534914">
      <w:bodyDiv w:val="1"/>
      <w:marLeft w:val="0"/>
      <w:marRight w:val="0"/>
      <w:marTop w:val="0"/>
      <w:marBottom w:val="0"/>
      <w:divBdr>
        <w:top w:val="none" w:sz="0" w:space="0" w:color="auto"/>
        <w:left w:val="none" w:sz="0" w:space="0" w:color="auto"/>
        <w:bottom w:val="none" w:sz="0" w:space="0" w:color="auto"/>
        <w:right w:val="none" w:sz="0" w:space="0" w:color="auto"/>
      </w:divBdr>
    </w:div>
    <w:div w:id="18009570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3490</Characters>
  <Application>Microsoft Macintosh Word</Application>
  <DocSecurity>0</DocSecurity>
  <Lines>29</Lines>
  <Paragraphs>8</Paragraphs>
  <ScaleCrop>false</ScaleCrop>
  <LinksUpToDate>false</LinksUpToDate>
  <CharactersWithSpaces>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2017-06-15T12:39:00Z</dcterms:created>
  <dcterms:modified xsi:type="dcterms:W3CDTF">2017-06-15T12:39:00Z</dcterms:modified>
</cp:coreProperties>
</file>